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FD6CBE5">
      <w:pPr>
        <w:keepNext w:val="0"/>
        <w:keepLines w:val="0"/>
        <w:pageBreakBefore w:val="0"/>
        <w:widowControl w:val="0"/>
        <w:kinsoku/>
        <w:wordWrap/>
        <w:overflowPunct/>
        <w:topLinePunct w:val="0"/>
        <w:autoSpaceDE/>
        <w:autoSpaceDN/>
        <w:bidi w:val="0"/>
        <w:adjustRightInd/>
        <w:snapToGrid w:val="0"/>
        <w:spacing w:before="100" w:beforeLines="100" w:beforeAutospacing="1" w:after="100" w:afterLines="100" w:afterAutospacing="1" w:line="520" w:lineRule="exact"/>
        <w:ind w:firstLine="0" w:firstLineChars="0"/>
        <w:jc w:val="center"/>
        <w:textAlignment w:val="auto"/>
        <w:outlineLvl w:val="9"/>
        <w:rPr>
          <w:rFonts w:ascii="Times New Roman"/>
          <w:b/>
          <w:bCs/>
          <w:color w:val="000000" w:themeColor="text1"/>
          <w:sz w:val="36"/>
          <w:szCs w:val="36"/>
          <w14:textFill>
            <w14:solidFill>
              <w14:schemeClr w14:val="tx1"/>
            </w14:solidFill>
          </w14:textFill>
        </w:rPr>
      </w:pPr>
      <w:bookmarkStart w:id="0" w:name="_Toc333247853"/>
      <w:bookmarkStart w:id="1" w:name="_Toc313453417"/>
      <w:bookmarkStart w:id="2" w:name="_Toc335916610"/>
      <w:bookmarkStart w:id="3" w:name="_Toc2124"/>
      <w:bookmarkStart w:id="4" w:name="_Toc17958"/>
      <w:bookmarkStart w:id="5" w:name="_Toc15721"/>
      <w:bookmarkStart w:id="6" w:name="_Toc335576502"/>
      <w:bookmarkStart w:id="7" w:name="_Toc326085689"/>
      <w:bookmarkStart w:id="8" w:name="_Toc12572"/>
      <w:bookmarkStart w:id="9" w:name="_Toc331164318"/>
      <w:bookmarkStart w:id="10" w:name="_Toc335926122"/>
      <w:r>
        <w:rPr>
          <w:rFonts w:ascii="Times New Roman"/>
          <w:b/>
          <w:bCs/>
          <w:color w:val="000000" w:themeColor="text1"/>
          <w:sz w:val="36"/>
          <w:szCs w:val="36"/>
          <w14:textFill>
            <w14:solidFill>
              <w14:schemeClr w14:val="tx1"/>
            </w14:solidFill>
          </w14:textFill>
        </w:rPr>
        <w:t>前</w:t>
      </w:r>
      <w:r>
        <w:rPr>
          <w:rFonts w:hint="eastAsia" w:ascii="Times New Roman"/>
          <w:b/>
          <w:bCs/>
          <w:color w:val="000000" w:themeColor="text1"/>
          <w:sz w:val="36"/>
          <w:szCs w:val="36"/>
          <w:lang w:val="en-US" w:eastAsia="zh-CN"/>
          <w14:textFill>
            <w14:solidFill>
              <w14:schemeClr w14:val="tx1"/>
            </w14:solidFill>
          </w14:textFill>
        </w:rPr>
        <w:t xml:space="preserve">  </w:t>
      </w:r>
      <w:r>
        <w:rPr>
          <w:rFonts w:ascii="Times New Roman"/>
          <w:b/>
          <w:bCs/>
          <w:color w:val="000000" w:themeColor="text1"/>
          <w:sz w:val="36"/>
          <w:szCs w:val="36"/>
          <w14:textFill>
            <w14:solidFill>
              <w14:schemeClr w14:val="tx1"/>
            </w14:solidFill>
          </w14:textFill>
        </w:rPr>
        <w:t>言</w:t>
      </w:r>
      <w:bookmarkEnd w:id="0"/>
      <w:bookmarkEnd w:id="1"/>
      <w:bookmarkEnd w:id="2"/>
      <w:bookmarkEnd w:id="3"/>
      <w:bookmarkEnd w:id="4"/>
      <w:bookmarkEnd w:id="5"/>
      <w:bookmarkEnd w:id="6"/>
      <w:bookmarkEnd w:id="7"/>
      <w:bookmarkEnd w:id="8"/>
      <w:bookmarkEnd w:id="9"/>
      <w:bookmarkEnd w:id="10"/>
    </w:p>
    <w:p w14:paraId="47AB9C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随着我国法制化的日趋健全和完善，安全生产监督管理体系也逐步向科学化、规范化、制度化发展，安全评价作为现代先进安全生产管理模式的主要内容之一越来越受到重视。“安全第一、预防为主、综合治理”是我们党和国家始终不渝的安全生产方针，开展安全评价正是突出“安全第一”、体现“预防为主”的一项重要工作，是“安全第一、预防为主、综合治理”安全生产方针在企业安全生产中的具体体现。安全评价不仅能有效地提高企业和生产设备的本质安全程度，而且可以为各级应急管理部门的决策和监督检查提供有力的技术支撑。</w:t>
      </w:r>
    </w:p>
    <w:p w14:paraId="51D6933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牟定乾泰建材有限公司</w:t>
      </w:r>
      <w:r>
        <w:rPr>
          <w:rFonts w:hint="eastAsia" w:ascii="宋体" w:hAnsi="宋体" w:eastAsia="宋体" w:cs="宋体"/>
          <w:color w:val="000000" w:themeColor="text1"/>
          <w:sz w:val="28"/>
          <w:szCs w:val="28"/>
          <w:lang w:val="en-US" w:eastAsia="zh-CN"/>
          <w14:textFill>
            <w14:solidFill>
              <w14:schemeClr w14:val="tx1"/>
            </w14:solidFill>
          </w14:textFill>
        </w:rPr>
        <w:t>成立于2003年5月6日，主要从事机制红砖，页岩空心砖制造，项目</w:t>
      </w:r>
      <w:r>
        <w:rPr>
          <w:rFonts w:hint="eastAsia" w:ascii="宋体" w:hAnsi="宋体" w:eastAsia="宋体" w:cs="宋体"/>
          <w:color w:val="000000" w:themeColor="text1"/>
          <w:sz w:val="28"/>
          <w:szCs w:val="28"/>
          <w14:textFill>
            <w14:solidFill>
              <w14:schemeClr w14:val="tx1"/>
            </w14:solidFill>
          </w14:textFill>
        </w:rPr>
        <w:t>位于牟定县共和镇龙马池村白泥塔</w:t>
      </w:r>
      <w:r>
        <w:rPr>
          <w:rFonts w:hint="eastAsia" w:ascii="宋体" w:hAnsi="宋体" w:eastAsia="宋体" w:cs="宋体"/>
          <w:color w:val="000000" w:themeColor="text1"/>
          <w:sz w:val="28"/>
          <w:szCs w:val="28"/>
          <w:lang w:eastAsia="zh-CN"/>
          <w14:textFill>
            <w14:solidFill>
              <w14:schemeClr w14:val="tx1"/>
            </w14:solidFill>
          </w14:textFill>
        </w:rPr>
        <w:t>。</w:t>
      </w:r>
    </w:p>
    <w:p w14:paraId="41D8E007">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根据《中华人民共和国安全</w:t>
      </w:r>
      <w:r>
        <w:rPr>
          <w:rFonts w:hint="eastAsia" w:ascii="宋体" w:hAnsi="宋体" w:eastAsia="宋体" w:cs="宋体"/>
          <w:color w:val="000000" w:themeColor="text1"/>
          <w:sz w:val="28"/>
          <w14:textFill>
            <w14:solidFill>
              <w14:schemeClr w14:val="tx1"/>
            </w14:solidFill>
          </w14:textFill>
        </w:rPr>
        <w:t>生产法》等国家相关安全生产法律、法规的规定，并按照应急管理部门的要求，该公司为了向应急管理部门提供安全监管依据，特委托昭通市鼎安科技有限公司承担该公司</w:t>
      </w:r>
      <w:r>
        <w:rPr>
          <w:rFonts w:hint="eastAsia" w:ascii="宋体" w:hAnsi="宋体" w:eastAsia="宋体" w:cs="宋体"/>
          <w:color w:val="000000" w:themeColor="text1"/>
          <w:sz w:val="28"/>
          <w:lang w:eastAsia="zh-CN"/>
          <w14:textFill>
            <w14:solidFill>
              <w14:schemeClr w14:val="tx1"/>
            </w14:solidFill>
          </w14:textFill>
        </w:rPr>
        <w:t>的</w:t>
      </w:r>
      <w:r>
        <w:rPr>
          <w:rFonts w:hint="eastAsia" w:ascii="宋体" w:hAnsi="宋体" w:eastAsia="宋体" w:cs="宋体"/>
          <w:color w:val="000000" w:themeColor="text1"/>
          <w:sz w:val="28"/>
          <w14:textFill>
            <w14:solidFill>
              <w14:schemeClr w14:val="tx1"/>
            </w14:solidFill>
          </w14:textFill>
        </w:rPr>
        <w:t>安全现状评价工作。</w:t>
      </w:r>
    </w:p>
    <w:p w14:paraId="53BB35A3">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在接受牟定乾泰建材有限公司</w:t>
      </w:r>
      <w:r>
        <w:rPr>
          <w:rFonts w:hint="eastAsia" w:ascii="宋体" w:hAnsi="宋体" w:eastAsia="宋体" w:cs="宋体"/>
          <w:color w:val="000000" w:themeColor="text1"/>
          <w:sz w:val="28"/>
          <w14:textFill>
            <w14:solidFill>
              <w14:schemeClr w14:val="tx1"/>
            </w14:solidFill>
          </w14:textFill>
        </w:rPr>
        <w:t>的</w:t>
      </w:r>
      <w:r>
        <w:rPr>
          <w:rFonts w:hint="eastAsia" w:ascii="宋体" w:hAnsi="宋体" w:eastAsia="宋体" w:cs="宋体"/>
          <w:color w:val="000000" w:themeColor="text1"/>
          <w:sz w:val="28"/>
          <w:szCs w:val="28"/>
          <w14:textFill>
            <w14:solidFill>
              <w14:schemeClr w14:val="tx1"/>
            </w14:solidFill>
          </w14:textFill>
        </w:rPr>
        <w:t>安全现状评价工作的委托之后，我公司立即组成安全评价组，组织评价人员投入到该项目的安全评价工作中。</w:t>
      </w:r>
      <w:r>
        <w:rPr>
          <w:rFonts w:hint="eastAsia" w:ascii="宋体" w:hAnsi="宋体" w:eastAsia="宋体" w:cs="宋体"/>
          <w:color w:val="000000" w:themeColor="text1"/>
          <w:sz w:val="28"/>
          <w14:textFill>
            <w14:solidFill>
              <w14:schemeClr w14:val="tx1"/>
            </w14:solidFill>
          </w14:textFill>
        </w:rPr>
        <w:t>经过评价组现场的情况调查和资料调研，编写了本安全现状评价报告。</w:t>
      </w:r>
    </w:p>
    <w:p w14:paraId="14DCD4C9">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lang w:eastAsia="zh-CN"/>
          <w14:textFill>
            <w14:solidFill>
              <w14:schemeClr w14:val="tx1"/>
            </w14:solidFill>
          </w14:textFill>
        </w:rPr>
        <w:sectPr>
          <w:headerReference r:id="rId3" w:type="default"/>
          <w:footerReference r:id="rId4" w:type="default"/>
          <w:pgSz w:w="11906" w:h="16838"/>
          <w:pgMar w:top="1587" w:right="1701" w:bottom="1701" w:left="1701" w:header="851" w:footer="992" w:gutter="0"/>
          <w:pgBorders>
            <w:top w:val="none" w:sz="0" w:space="0"/>
            <w:left w:val="none" w:sz="0" w:space="0"/>
            <w:bottom w:val="none" w:sz="0" w:space="0"/>
            <w:right w:val="none" w:sz="0" w:space="0"/>
          </w:pgBorders>
          <w:pgNumType w:fmt="lowerRoman" w:start="1"/>
          <w:cols w:space="720" w:num="1"/>
          <w:docGrid w:type="lines" w:linePitch="330" w:charSpace="0"/>
        </w:sectPr>
      </w:pPr>
      <w:r>
        <w:rPr>
          <w:rFonts w:hint="eastAsia" w:ascii="宋体" w:hAnsi="宋体" w:eastAsia="宋体" w:cs="宋体"/>
          <w:color w:val="000000" w:themeColor="text1"/>
          <w:sz w:val="28"/>
          <w14:textFill>
            <w14:solidFill>
              <w14:schemeClr w14:val="tx1"/>
            </w14:solidFill>
          </w14:textFill>
        </w:rPr>
        <w:t>在</w:t>
      </w:r>
      <w:r>
        <w:rPr>
          <w:rFonts w:hint="eastAsia" w:hAnsi="宋体" w:cs="宋体"/>
          <w:color w:val="000000" w:themeColor="text1"/>
          <w:sz w:val="28"/>
          <w:lang w:val="en-US" w:eastAsia="zh-CN"/>
          <w14:textFill>
            <w14:solidFill>
              <w14:schemeClr w14:val="tx1"/>
            </w14:solidFill>
          </w14:textFill>
        </w:rPr>
        <w:t>评价过程</w:t>
      </w:r>
      <w:r>
        <w:rPr>
          <w:rFonts w:hint="eastAsia" w:ascii="宋体" w:hAnsi="宋体" w:eastAsia="宋体" w:cs="宋体"/>
          <w:color w:val="000000" w:themeColor="text1"/>
          <w:sz w:val="28"/>
          <w14:textFill>
            <w14:solidFill>
              <w14:schemeClr w14:val="tx1"/>
            </w14:solidFill>
          </w14:textFill>
        </w:rPr>
        <w:t>中，得到</w:t>
      </w:r>
      <w:r>
        <w:rPr>
          <w:rFonts w:hint="eastAsia" w:ascii="宋体" w:hAnsi="宋体" w:eastAsia="宋体" w:cs="宋体"/>
          <w:color w:val="000000" w:themeColor="text1"/>
          <w:sz w:val="28"/>
          <w:lang w:val="en-US" w:eastAsia="zh-CN"/>
          <w14:textFill>
            <w14:solidFill>
              <w14:schemeClr w14:val="tx1"/>
            </w14:solidFill>
          </w14:textFill>
        </w:rPr>
        <w:t>楚雄州</w:t>
      </w:r>
      <w:r>
        <w:rPr>
          <w:rFonts w:hint="eastAsia" w:ascii="宋体" w:hAnsi="宋体" w:eastAsia="宋体" w:cs="宋体"/>
          <w:color w:val="000000" w:themeColor="text1"/>
          <w:sz w:val="28"/>
          <w14:textFill>
            <w14:solidFill>
              <w14:schemeClr w14:val="tx1"/>
            </w14:solidFill>
          </w14:textFill>
        </w:rPr>
        <w:t>应急管理局、</w:t>
      </w:r>
      <w:r>
        <w:rPr>
          <w:rFonts w:hint="eastAsia" w:hAnsi="宋体" w:cs="宋体"/>
          <w:color w:val="000000" w:themeColor="text1"/>
          <w:sz w:val="28"/>
          <w:lang w:val="en-US" w:eastAsia="zh-CN"/>
          <w14:textFill>
            <w14:solidFill>
              <w14:schemeClr w14:val="tx1"/>
            </w14:solidFill>
          </w14:textFill>
        </w:rPr>
        <w:t>牟定县</w:t>
      </w:r>
      <w:r>
        <w:rPr>
          <w:rFonts w:hint="eastAsia" w:ascii="宋体" w:hAnsi="宋体" w:eastAsia="宋体" w:cs="宋体"/>
          <w:color w:val="000000" w:themeColor="text1"/>
          <w:sz w:val="28"/>
          <w14:textFill>
            <w14:solidFill>
              <w14:schemeClr w14:val="tx1"/>
            </w14:solidFill>
          </w14:textFill>
        </w:rPr>
        <w:t>应急管理局、</w:t>
      </w:r>
      <w:r>
        <w:rPr>
          <w:rFonts w:hint="eastAsia" w:ascii="宋体" w:hAnsi="宋体" w:eastAsia="宋体" w:cs="宋体"/>
          <w:color w:val="000000" w:themeColor="text1"/>
          <w:sz w:val="28"/>
          <w:szCs w:val="28"/>
          <w14:textFill>
            <w14:solidFill>
              <w14:schemeClr w14:val="tx1"/>
            </w14:solidFill>
          </w14:textFill>
        </w:rPr>
        <w:t>牟定乾泰建材有限公司有关领导和技术人员的大力支持，同时引用了一些专家学者的研究成果和技术资料，</w:t>
      </w:r>
      <w:r>
        <w:rPr>
          <w:rFonts w:hint="eastAsia" w:ascii="宋体" w:hAnsi="宋体" w:eastAsia="宋体" w:cs="宋体"/>
          <w:color w:val="000000" w:themeColor="text1"/>
          <w:sz w:val="28"/>
          <w14:textFill>
            <w14:solidFill>
              <w14:schemeClr w14:val="tx1"/>
            </w14:solidFill>
          </w14:textFill>
        </w:rPr>
        <w:t>在此一并表示感谢</w:t>
      </w:r>
      <w:r>
        <w:rPr>
          <w:rFonts w:hint="eastAsia" w:ascii="宋体" w:hAnsi="宋体" w:eastAsia="宋体" w:cs="宋体"/>
          <w:color w:val="000000" w:themeColor="text1"/>
          <w:sz w:val="28"/>
          <w:lang w:eastAsia="zh-CN"/>
          <w14:textFill>
            <w14:solidFill>
              <w14:schemeClr w14:val="tx1"/>
            </w14:solidFill>
          </w14:textFill>
        </w:rPr>
        <w:t>！</w:t>
      </w:r>
    </w:p>
    <w:sdt>
      <w:sdtPr>
        <w:rPr>
          <w:rFonts w:ascii="宋体" w:hAnsi="宋体" w:eastAsia="宋体" w:cs="Times New Roman"/>
          <w:b/>
          <w:bCs/>
          <w:color w:val="000000" w:themeColor="text1"/>
          <w:sz w:val="21"/>
          <w:lang w:val="en-US" w:eastAsia="zh-CN" w:bidi="ar-SA"/>
          <w14:textFill>
            <w14:solidFill>
              <w14:schemeClr w14:val="tx1"/>
            </w14:solidFill>
          </w14:textFill>
        </w:rPr>
        <w:id w:val="147465055"/>
        <w15:color w:val="DBDBDB"/>
        <w:docPartObj>
          <w:docPartGallery w:val="Table of Contents"/>
          <w:docPartUnique/>
        </w:docPartObj>
      </w:sdtPr>
      <w:sdtEndPr>
        <w:rPr>
          <w:rFonts w:ascii="宋体" w:hAnsi="宋体" w:eastAsia="宋体" w:cs="Times New Roman"/>
          <w:b/>
          <w:bCs/>
          <w:color w:val="000000" w:themeColor="text1"/>
          <w:sz w:val="21"/>
          <w:lang w:val="en-US" w:eastAsia="zh-CN" w:bidi="ar-SA"/>
          <w14:textFill>
            <w14:solidFill>
              <w14:schemeClr w14:val="tx1"/>
            </w14:solidFill>
          </w14:textFill>
        </w:rPr>
      </w:sdtEndPr>
      <w:sdtContent>
        <w:p w14:paraId="643DE9F5">
          <w:pPr>
            <w:spacing w:before="0" w:beforeLines="0" w:after="0" w:afterLines="0" w:line="240" w:lineRule="auto"/>
            <w:ind w:left="0" w:leftChars="0" w:right="0" w:rightChars="0" w:firstLine="0" w:firstLineChars="0"/>
            <w:jc w:val="center"/>
            <w:rPr>
              <w:b/>
              <w:bCs/>
              <w:color w:val="000000" w:themeColor="text1"/>
              <w:sz w:val="32"/>
              <w:szCs w:val="32"/>
              <w14:textFill>
                <w14:solidFill>
                  <w14:schemeClr w14:val="tx1"/>
                </w14:solidFill>
              </w14:textFill>
            </w:rPr>
          </w:pPr>
          <w:r>
            <w:rPr>
              <w:rFonts w:ascii="宋体" w:hAnsi="宋体" w:eastAsia="宋体"/>
              <w:b/>
              <w:bCs/>
              <w:color w:val="000000" w:themeColor="text1"/>
              <w:sz w:val="32"/>
              <w:szCs w:val="32"/>
              <w14:textFill>
                <w14:solidFill>
                  <w14:schemeClr w14:val="tx1"/>
                </w14:solidFill>
              </w14:textFill>
            </w:rPr>
            <w:t>目</w:t>
          </w:r>
          <w:r>
            <w:rPr>
              <w:rFonts w:hint="eastAsia" w:ascii="宋体" w:hAnsi="宋体" w:eastAsia="宋体"/>
              <w:b/>
              <w:bCs/>
              <w:color w:val="000000" w:themeColor="text1"/>
              <w:sz w:val="32"/>
              <w:szCs w:val="32"/>
              <w:lang w:val="en-US" w:eastAsia="zh-CN"/>
              <w14:textFill>
                <w14:solidFill>
                  <w14:schemeClr w14:val="tx1"/>
                </w14:solidFill>
              </w14:textFill>
            </w:rPr>
            <w:t xml:space="preserve">  </w:t>
          </w:r>
          <w:r>
            <w:rPr>
              <w:rFonts w:ascii="宋体" w:hAnsi="宋体" w:eastAsia="宋体"/>
              <w:b/>
              <w:bCs/>
              <w:color w:val="000000" w:themeColor="text1"/>
              <w:sz w:val="32"/>
              <w:szCs w:val="32"/>
              <w14:textFill>
                <w14:solidFill>
                  <w14:schemeClr w14:val="tx1"/>
                </w14:solidFill>
              </w14:textFill>
            </w:rPr>
            <w:t>录</w:t>
          </w:r>
        </w:p>
        <w:p w14:paraId="6410819A">
          <w:pPr>
            <w:pStyle w:val="34"/>
            <w:tabs>
              <w:tab w:val="right" w:leader="dot" w:pos="8504"/>
            </w:tabs>
            <w:rPr>
              <w:b/>
              <w:bCs/>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TOC \o "1-3" \h \u </w:instrText>
          </w:r>
          <w:r>
            <w:rPr>
              <w:color w:val="000000" w:themeColor="text1"/>
              <w14:textFill>
                <w14:solidFill>
                  <w14:schemeClr w14:val="tx1"/>
                </w14:solidFill>
              </w14:textFill>
            </w:rPr>
            <w:fldChar w:fldCharType="separate"/>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_Toc11335 </w:instrText>
          </w:r>
          <w:r>
            <w:rPr>
              <w:b/>
              <w:bCs/>
              <w:color w:val="000000" w:themeColor="text1"/>
              <w14:textFill>
                <w14:solidFill>
                  <w14:schemeClr w14:val="tx1"/>
                </w14:solidFill>
              </w14:textFill>
            </w:rPr>
            <w:fldChar w:fldCharType="separate"/>
          </w:r>
          <w:r>
            <w:rPr>
              <w:rFonts w:hint="eastAsia" w:ascii="黑体" w:hAnsi="黑体" w:eastAsia="黑体" w:cs="黑体"/>
              <w:b/>
              <w:bCs/>
              <w:color w:val="000000" w:themeColor="text1"/>
              <w14:textFill>
                <w14:solidFill>
                  <w14:schemeClr w14:val="tx1"/>
                </w14:solidFill>
              </w14:textFill>
            </w:rPr>
            <w:t>第</w:t>
          </w:r>
          <w:r>
            <w:rPr>
              <w:rFonts w:hint="default" w:ascii="Times New Roman" w:hAnsi="Times New Roman" w:eastAsia="黑体" w:cs="Times New Roman"/>
              <w:b/>
              <w:bCs/>
              <w:color w:val="000000" w:themeColor="text1"/>
              <w14:textFill>
                <w14:solidFill>
                  <w14:schemeClr w14:val="tx1"/>
                </w14:solidFill>
              </w14:textFill>
            </w:rPr>
            <w:t>1</w:t>
          </w:r>
          <w:r>
            <w:rPr>
              <w:rFonts w:hint="eastAsia" w:ascii="黑体" w:hAnsi="黑体" w:eastAsia="黑体" w:cs="黑体"/>
              <w:b/>
              <w:bCs/>
              <w:color w:val="000000" w:themeColor="text1"/>
              <w14:textFill>
                <w14:solidFill>
                  <w14:schemeClr w14:val="tx1"/>
                </w14:solidFill>
              </w14:textFill>
            </w:rPr>
            <w:t>章  编制说明</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_Toc11335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03C60CA">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_Toc23051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1.1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eastAsia" w:ascii="楷体" w:hAnsi="楷体" w:eastAsia="楷体" w:cs="楷体"/>
              <w:b/>
              <w:bCs/>
              <w:color w:val="000000" w:themeColor="text1"/>
              <w14:textFill>
                <w14:solidFill>
                  <w14:schemeClr w14:val="tx1"/>
                </w14:solidFill>
              </w14:textFill>
            </w:rPr>
            <w:t>安全评价的目的</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_Toc23051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7FD7D01">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_Toc25656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1.2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eastAsia" w:ascii="楷体" w:hAnsi="楷体" w:eastAsia="楷体" w:cs="楷体"/>
              <w:b/>
              <w:bCs/>
              <w:color w:val="000000" w:themeColor="text1"/>
              <w14:textFill>
                <w14:solidFill>
                  <w14:schemeClr w14:val="tx1"/>
                </w14:solidFill>
              </w14:textFill>
            </w:rPr>
            <w:t>安全评价依据</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_Toc25656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0CBC2AA">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_Toc30136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1</w:t>
          </w:r>
          <w:r>
            <w:rPr>
              <w:rFonts w:hint="default" w:ascii="Times New Roman" w:hAnsi="Times New Roman" w:eastAsia="黑体" w:cs="Times New Roman"/>
              <w:b/>
              <w:bCs/>
              <w:color w:val="000000" w:themeColor="text1"/>
              <w:szCs w:val="36"/>
              <w14:textFill>
                <w14:solidFill>
                  <w14:schemeClr w14:val="tx1"/>
                </w14:solidFill>
              </w14:textFill>
            </w:rPr>
            <w:t>.</w:t>
          </w:r>
          <w:r>
            <w:rPr>
              <w:rFonts w:hint="default" w:ascii="Times New Roman" w:hAnsi="Times New Roman" w:eastAsia="黑体" w:cs="Times New Roman"/>
              <w:b/>
              <w:bCs/>
              <w:color w:val="000000" w:themeColor="text1"/>
              <w14:textFill>
                <w14:solidFill>
                  <w14:schemeClr w14:val="tx1"/>
                </w14:solidFill>
              </w14:textFill>
            </w:rPr>
            <w:t>2</w:t>
          </w:r>
          <w:r>
            <w:rPr>
              <w:rFonts w:hint="default" w:ascii="Times New Roman" w:hAnsi="Times New Roman" w:eastAsia="黑体" w:cs="Times New Roman"/>
              <w:b/>
              <w:bCs/>
              <w:color w:val="000000" w:themeColor="text1"/>
              <w:szCs w:val="36"/>
              <w14:textFill>
                <w14:solidFill>
                  <w14:schemeClr w14:val="tx1"/>
                </w14:solidFill>
              </w14:textFill>
            </w:rPr>
            <w:t>.</w:t>
          </w:r>
          <w:r>
            <w:rPr>
              <w:rFonts w:hint="default" w:ascii="Times New Roman" w:hAnsi="Times New Roman" w:eastAsia="黑体" w:cs="Times New Roman"/>
              <w:b/>
              <w:bCs/>
              <w:color w:val="000000" w:themeColor="text1"/>
              <w14:textFill>
                <w14:solidFill>
                  <w14:schemeClr w14:val="tx1"/>
                </w14:solidFill>
              </w14:textFill>
            </w:rPr>
            <w:t>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eastAsia" w:ascii="黑体" w:hAnsi="黑体" w:eastAsia="黑体" w:cs="黑体"/>
              <w:b/>
              <w:bCs/>
              <w:color w:val="000000" w:themeColor="text1"/>
              <w14:textFill>
                <w14:solidFill>
                  <w14:schemeClr w14:val="tx1"/>
                </w14:solidFill>
              </w14:textFill>
            </w:rPr>
            <w:t>法律法规</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_Toc30136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28B3E96">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_Toc12752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1.2.2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eastAsia" w:ascii="黑体" w:hAnsi="黑体" w:eastAsia="黑体" w:cs="黑体"/>
              <w:b/>
              <w:bCs/>
              <w:color w:val="000000" w:themeColor="text1"/>
              <w14:textFill>
                <w14:solidFill>
                  <w14:schemeClr w14:val="tx1"/>
                </w14:solidFill>
              </w14:textFill>
            </w:rPr>
            <w:t>行政法规</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_Toc12752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4BAEC4F">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_Toc27058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1.2.3</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部门规章</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_Toc27058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8BAE33D">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_Toc953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1.2.4</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地方有关法规文件</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_Toc953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6CE6093">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_Toc7695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1.2.5</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国家标准</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_Toc7695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7E8B13D">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_Toc19839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1.2.6</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行业标准</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_Toc19839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B8AA7F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_Toc23753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1.2.7</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建设项目技术资料</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_Toc23753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6E340B9">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_Toc19274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1.3</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评价对象及范围</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_Toc19274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2FD8FEDF">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_Toc2846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1.4</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评价原则</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_Toc2846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C3C01E1">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_Toc18506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1.5</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评价程序</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_Toc18506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B75B8B3">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_Toc32446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1.6</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评价基准日</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_Toc32446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7CBA93C">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_Toc9643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1.7</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评价报告使用权声明</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_Toc9643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570F8E6">
          <w:pPr>
            <w:pStyle w:val="34"/>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_Toc21878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第2章 企业及项目概况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_Toc21878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10C600F">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_Toc3599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2.1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企业</w:t>
          </w:r>
          <w:r>
            <w:rPr>
              <w:rFonts w:hint="eastAsia" w:ascii="Times New Roman" w:hAnsi="Times New Roman" w:cs="Times New Roman"/>
              <w:b/>
              <w:bCs/>
              <w:color w:val="000000" w:themeColor="text1"/>
              <w:lang w:val="en-US" w:eastAsia="zh-CN"/>
              <w14:textFill>
                <w14:solidFill>
                  <w14:schemeClr w14:val="tx1"/>
                </w14:solidFill>
              </w14:textFill>
            </w:rPr>
            <w:t>概况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_Toc3599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E9341EF">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_Toc11076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2.2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项目概况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_Toc11076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7000024">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_Toc25048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2.2.1项目简介</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_Toc25048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4DDD086">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_Toc10739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2.2.</w:t>
          </w:r>
          <w:r>
            <w:rPr>
              <w:rFonts w:hint="eastAsia" w:ascii="Times New Roman" w:hAnsi="Times New Roman" w:cs="Times New Roman"/>
              <w:b/>
              <w:bCs/>
              <w:color w:val="000000" w:themeColor="text1"/>
              <w:lang w:val="en-US" w:eastAsia="zh-CN"/>
              <w14:textFill>
                <w14:solidFill>
                  <w14:schemeClr w14:val="tx1"/>
                </w14:solidFill>
              </w14:textFill>
            </w:rPr>
            <w:t xml:space="preserve">2 </w:t>
          </w:r>
          <w:r>
            <w:rPr>
              <w:rFonts w:hint="default" w:ascii="Times New Roman" w:hAnsi="Times New Roman" w:eastAsia="黑体" w:cs="Times New Roman"/>
              <w:b/>
              <w:bCs/>
              <w:color w:val="000000" w:themeColor="text1"/>
              <w14:textFill>
                <w14:solidFill>
                  <w14:schemeClr w14:val="tx1"/>
                </w14:solidFill>
              </w14:textFill>
            </w:rPr>
            <w:t>项目地理位置</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_Toc10739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AC7C295">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_Toc2765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2.2.</w:t>
          </w:r>
          <w:r>
            <w:rPr>
              <w:rFonts w:hint="eastAsia" w:ascii="Times New Roman" w:hAnsi="Times New Roman" w:cs="Times New Roman"/>
              <w:b/>
              <w:bCs/>
              <w:color w:val="000000" w:themeColor="text1"/>
              <w:lang w:val="en-US" w:eastAsia="zh-CN"/>
              <w14:textFill>
                <w14:solidFill>
                  <w14:schemeClr w14:val="tx1"/>
                </w14:solidFill>
              </w14:textFill>
            </w:rPr>
            <w:t xml:space="preserve">3 </w:t>
          </w:r>
          <w:r>
            <w:rPr>
              <w:rFonts w:hint="default" w:ascii="Times New Roman" w:hAnsi="Times New Roman" w:eastAsia="黑体" w:cs="Times New Roman"/>
              <w:b/>
              <w:bCs/>
              <w:color w:val="000000" w:themeColor="text1"/>
              <w14:textFill>
                <w14:solidFill>
                  <w14:schemeClr w14:val="tx1"/>
                </w14:solidFill>
              </w14:textFill>
            </w:rPr>
            <w:t>项目周边情况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_Toc2765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86908F3">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_Toc1712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2.2.</w:t>
          </w:r>
          <w:r>
            <w:rPr>
              <w:rFonts w:hint="eastAsia" w:ascii="Times New Roman" w:hAnsi="Times New Roman" w:cs="Times New Roman"/>
              <w:b/>
              <w:bCs/>
              <w:color w:val="000000" w:themeColor="text1"/>
              <w:lang w:val="en-US" w:eastAsia="zh-CN"/>
              <w14:textFill>
                <w14:solidFill>
                  <w14:schemeClr w14:val="tx1"/>
                </w14:solidFill>
              </w14:textFill>
            </w:rPr>
            <w:t>4</w:t>
          </w:r>
          <w:r>
            <w:rPr>
              <w:rFonts w:hint="default" w:ascii="Times New Roman" w:hAnsi="Times New Roman" w:eastAsia="黑体" w:cs="Times New Roman"/>
              <w:b/>
              <w:bCs/>
              <w:color w:val="000000" w:themeColor="text1"/>
              <w14:textFill>
                <w14:solidFill>
                  <w14:schemeClr w14:val="tx1"/>
                </w14:solidFill>
              </w14:textFill>
            </w:rPr>
            <w:t>气象条件</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_Toc1712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13</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F21A5EE">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_Toc6622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2.2.</w:t>
          </w:r>
          <w:r>
            <w:rPr>
              <w:rFonts w:hint="eastAsia" w:ascii="Times New Roman" w:hAnsi="Times New Roman" w:cs="Times New Roman"/>
              <w:b/>
              <w:bCs/>
              <w:color w:val="000000" w:themeColor="text1"/>
              <w:lang w:val="en-US" w:eastAsia="zh-CN"/>
              <w14:textFill>
                <w14:solidFill>
                  <w14:schemeClr w14:val="tx1"/>
                </w14:solidFill>
              </w14:textFill>
            </w:rPr>
            <w:t xml:space="preserve">5 </w:t>
          </w:r>
          <w:r>
            <w:rPr>
              <w:rFonts w:hint="default" w:ascii="Times New Roman" w:hAnsi="Times New Roman" w:eastAsia="黑体" w:cs="Times New Roman"/>
              <w:b/>
              <w:bCs/>
              <w:color w:val="000000" w:themeColor="text1"/>
              <w14:textFill>
                <w14:solidFill>
                  <w14:schemeClr w14:val="tx1"/>
                </w14:solidFill>
              </w14:textFill>
            </w:rPr>
            <w:t>地质条件</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_Toc6622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13</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5DA0BDB">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_Toc25918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2.3</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总图布置</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_Toc25918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2E702739">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_Toc26644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2.3.1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总平面布置</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_Toc26644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3845951">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_Toc5539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2.3.2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厂内运输</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_Toc5539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8FFEF94">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_Toc31726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3</w:t>
          </w:r>
          <w:r>
            <w:rPr>
              <w:rFonts w:hint="default" w:ascii="Times New Roman" w:hAnsi="Times New Roman" w:eastAsia="黑体" w:cs="Times New Roman"/>
              <w:b/>
              <w:bCs/>
              <w:color w:val="000000" w:themeColor="text1"/>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 xml:space="preserve">3 </w:t>
          </w:r>
          <w:r>
            <w:rPr>
              <w:rFonts w:hint="default" w:ascii="Times New Roman" w:hAnsi="Times New Roman" w:eastAsia="黑体" w:cs="Times New Roman"/>
              <w:b/>
              <w:bCs/>
              <w:color w:val="000000" w:themeColor="text1"/>
              <w14:textFill>
                <w14:solidFill>
                  <w14:schemeClr w14:val="tx1"/>
                </w14:solidFill>
              </w14:textFill>
            </w:rPr>
            <w:t>厂外运输</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_Toc31726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56655D7">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_Toc2197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2.4</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生产工艺</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_Toc2197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C9D9104">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_Toc16058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2.4.1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生产规模及产品</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_Toc16058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920AC2E">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_Toc30698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2.4.2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主要原辅料及能耗</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_Toc30698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BFC868E">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_Toc10672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2.4.3</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生产工艺简述</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_Toc10672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788AC9F">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_Toc27599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2.4.4</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主要生产设备</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_Toc27599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87DEE06">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_Toc4304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2.5</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公用工程及辅助工程</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_Toc4304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23F5651">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_Toc19106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2.5.1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给排水</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_Toc19106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14EF19D">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_Toc8665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2.5.2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供配电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_Toc8665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C5D6000">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_Toc20634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2.5.3</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防雷防静电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_Toc20634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C0BF0B5">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_Toc8148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2.5.4</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消防</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_Toc8148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59F53D2">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_Toc30112 </w:instrText>
          </w:r>
          <w:r>
            <w:rPr>
              <w:b/>
              <w:bCs/>
              <w:color w:val="000000" w:themeColor="text1"/>
              <w14:textFill>
                <w14:solidFill>
                  <w14:schemeClr w14:val="tx1"/>
                </w14:solidFill>
              </w14:textFill>
            </w:rPr>
            <w:fldChar w:fldCharType="separate"/>
          </w:r>
          <w:r>
            <w:rPr>
              <w:rFonts w:hint="eastAsia" w:ascii="Times New Roman" w:hAnsi="Times New Roman" w:cs="Times New Roman"/>
              <w:b/>
              <w:bCs/>
              <w:color w:val="000000" w:themeColor="text1"/>
              <w:lang w:val="en-US" w:eastAsia="zh-CN"/>
              <w14:textFill>
                <w14:solidFill>
                  <w14:schemeClr w14:val="tx1"/>
                </w14:solidFill>
              </w14:textFill>
            </w:rPr>
            <w:t>2.5.5</w:t>
          </w:r>
          <w:r>
            <w:rPr>
              <w:rFonts w:hint="eastAsia" w:ascii="Times New Roman" w:hAnsi="Times New Roman" w:eastAsia="黑体" w:cs="Times New Roman"/>
              <w:b/>
              <w:bCs/>
              <w:color w:val="000000" w:themeColor="text1"/>
              <w:lang w:val="en-US" w:eastAsia="zh-CN"/>
              <w14:textFill>
                <w14:solidFill>
                  <w14:schemeClr w14:val="tx1"/>
                </w14:solidFill>
              </w14:textFill>
            </w:rPr>
            <w:t>供气情况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_Toc30112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0FA086B">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_Toc26624 </w:instrText>
          </w:r>
          <w:r>
            <w:rPr>
              <w:b/>
              <w:bCs/>
              <w:color w:val="000000" w:themeColor="text1"/>
              <w14:textFill>
                <w14:solidFill>
                  <w14:schemeClr w14:val="tx1"/>
                </w14:solidFill>
              </w14:textFill>
            </w:rPr>
            <w:fldChar w:fldCharType="separate"/>
          </w:r>
          <w:r>
            <w:rPr>
              <w:rFonts w:hint="eastAsia" w:ascii="Times New Roman" w:hAnsi="Times New Roman" w:cs="Times New Roman"/>
              <w:b/>
              <w:bCs/>
              <w:color w:val="000000" w:themeColor="text1"/>
              <w:lang w:val="en-US" w:eastAsia="zh-CN"/>
              <w14:textFill>
                <w14:solidFill>
                  <w14:schemeClr w14:val="tx1"/>
                </w14:solidFill>
              </w14:textFill>
            </w:rPr>
            <w:t>2.5.6废气处理情况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_Toc26624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9F94C5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_Toc15112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2.5.</w:t>
          </w:r>
          <w:r>
            <w:rPr>
              <w:rFonts w:hint="eastAsia" w:ascii="Times New Roman" w:hAnsi="Times New Roman" w:cs="Times New Roman"/>
              <w:b/>
              <w:bCs/>
              <w:color w:val="000000" w:themeColor="text1"/>
              <w:lang w:val="en-US" w:eastAsia="zh-CN"/>
              <w14:textFill>
                <w14:solidFill>
                  <w14:schemeClr w14:val="tx1"/>
                </w14:solidFill>
              </w14:textFill>
            </w:rPr>
            <w:t xml:space="preserve">7 </w:t>
          </w:r>
          <w:r>
            <w:rPr>
              <w:rFonts w:hint="default" w:ascii="Times New Roman" w:hAnsi="Times New Roman" w:eastAsia="黑体" w:cs="Times New Roman"/>
              <w:b/>
              <w:bCs/>
              <w:color w:val="000000" w:themeColor="text1"/>
              <w14:textFill>
                <w14:solidFill>
                  <w14:schemeClr w14:val="tx1"/>
                </w14:solidFill>
              </w14:textFill>
            </w:rPr>
            <w:t>原料仓（罐）储情况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_Toc15112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566A8C1">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_Toc29480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2.5.</w:t>
          </w:r>
          <w:r>
            <w:rPr>
              <w:rFonts w:hint="eastAsia" w:ascii="Times New Roman" w:hAnsi="Times New Roman" w:cs="Times New Roman"/>
              <w:b/>
              <w:bCs/>
              <w:color w:val="000000" w:themeColor="text1"/>
              <w:lang w:val="en-US" w:eastAsia="zh-CN"/>
              <w14:textFill>
                <w14:solidFill>
                  <w14:schemeClr w14:val="tx1"/>
                </w14:solidFill>
              </w14:textFill>
            </w:rPr>
            <w:t xml:space="preserve">8 </w:t>
          </w:r>
          <w:r>
            <w:rPr>
              <w:rFonts w:hint="default" w:ascii="Times New Roman" w:hAnsi="Times New Roman" w:eastAsia="黑体" w:cs="Times New Roman"/>
              <w:b/>
              <w:bCs/>
              <w:color w:val="000000" w:themeColor="text1"/>
              <w:lang w:val="en-US" w:eastAsia="zh-CN"/>
              <w14:textFill>
                <w14:solidFill>
                  <w14:schemeClr w14:val="tx1"/>
                </w14:solidFill>
              </w14:textFill>
            </w:rPr>
            <w:t>有限空间</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_Toc29480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BD8D244">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_Toc26640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2.5.</w:t>
          </w:r>
          <w:r>
            <w:rPr>
              <w:rFonts w:hint="eastAsia" w:ascii="Times New Roman" w:hAnsi="Times New Roman" w:cs="Times New Roman"/>
              <w:b/>
              <w:bCs/>
              <w:color w:val="000000" w:themeColor="text1"/>
              <w:lang w:val="en-US" w:eastAsia="zh-CN"/>
              <w14:textFill>
                <w14:solidFill>
                  <w14:schemeClr w14:val="tx1"/>
                </w14:solidFill>
              </w14:textFill>
            </w:rPr>
            <w:t xml:space="preserve">9 </w:t>
          </w:r>
          <w:r>
            <w:rPr>
              <w:rFonts w:hint="default" w:ascii="Times New Roman" w:hAnsi="Times New Roman" w:eastAsia="黑体" w:cs="Times New Roman"/>
              <w:b/>
              <w:bCs/>
              <w:color w:val="000000" w:themeColor="text1"/>
              <w14:textFill>
                <w14:solidFill>
                  <w14:schemeClr w14:val="tx1"/>
                </w14:solidFill>
              </w14:textFill>
            </w:rPr>
            <w:t>其他</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_Toc26640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9E7D292">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_Toc24238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lang w:val="en-US" w:eastAsia="zh-CN"/>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 xml:space="preserve">6 </w:t>
          </w:r>
          <w:r>
            <w:rPr>
              <w:rFonts w:hint="default" w:ascii="Times New Roman" w:hAnsi="Times New Roman" w:eastAsia="楷体" w:cs="Times New Roman"/>
              <w:b/>
              <w:bCs/>
              <w:color w:val="000000" w:themeColor="text1"/>
              <w14:textFill>
                <w14:solidFill>
                  <w14:schemeClr w14:val="tx1"/>
                </w14:solidFill>
              </w14:textFill>
            </w:rPr>
            <w:t>安全</w:t>
          </w:r>
          <w:r>
            <w:rPr>
              <w:rFonts w:hint="eastAsia" w:ascii="Times New Roman" w:hAnsi="Times New Roman" w:cs="Times New Roman"/>
              <w:b/>
              <w:bCs/>
              <w:color w:val="000000" w:themeColor="text1"/>
              <w:lang w:val="en-US" w:eastAsia="zh-CN"/>
              <w14:textFill>
                <w14:solidFill>
                  <w14:schemeClr w14:val="tx1"/>
                </w14:solidFill>
              </w14:textFill>
            </w:rPr>
            <w:t>生产</w:t>
          </w:r>
          <w:r>
            <w:rPr>
              <w:rFonts w:hint="default" w:ascii="Times New Roman" w:hAnsi="Times New Roman" w:eastAsia="楷体" w:cs="Times New Roman"/>
              <w:b/>
              <w:bCs/>
              <w:color w:val="000000" w:themeColor="text1"/>
              <w14:textFill>
                <w14:solidFill>
                  <w14:schemeClr w14:val="tx1"/>
                </w14:solidFill>
              </w14:textFill>
            </w:rPr>
            <w:t>管理</w:t>
          </w:r>
          <w:r>
            <w:rPr>
              <w:rFonts w:hint="eastAsia" w:ascii="Times New Roman" w:hAnsi="Times New Roman" w:cs="Times New Roman"/>
              <w:b/>
              <w:bCs/>
              <w:color w:val="000000" w:themeColor="text1"/>
              <w:lang w:val="en-US" w:eastAsia="zh-CN"/>
              <w14:textFill>
                <w14:solidFill>
                  <w14:schemeClr w14:val="tx1"/>
                </w14:solidFill>
              </w14:textFill>
            </w:rPr>
            <w:t>情况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_Toc24238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264BA09">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_Toc13130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default" w:ascii="Times New Roman" w:hAnsi="Times New Roman" w:eastAsia="黑体" w:cs="Times New Roman"/>
              <w:b/>
              <w:bCs/>
              <w:color w:val="000000" w:themeColor="text1"/>
              <w14:textFill>
                <w14:solidFill>
                  <w14:schemeClr w14:val="tx1"/>
                </w14:solidFill>
              </w14:textFill>
            </w:rPr>
            <w:t>.1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工作制度</w:t>
          </w:r>
          <w:r>
            <w:rPr>
              <w:rFonts w:hint="eastAsia" w:ascii="Times New Roman" w:hAnsi="Times New Roman" w:cs="Times New Roman"/>
              <w:b/>
              <w:bCs/>
              <w:color w:val="000000" w:themeColor="text1"/>
              <w:lang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劳动定员</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_Toc13130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720D82E">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_Toc8899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default" w:ascii="Times New Roman" w:hAnsi="Times New Roman" w:eastAsia="黑体" w:cs="Times New Roman"/>
              <w:b/>
              <w:bCs/>
              <w:color w:val="000000" w:themeColor="text1"/>
              <w14:textFill>
                <w14:solidFill>
                  <w14:schemeClr w14:val="tx1"/>
                </w14:solidFill>
              </w14:textFill>
            </w:rPr>
            <w:t>.2</w:t>
          </w:r>
          <w:r>
            <w:rPr>
              <w:rFonts w:hint="default" w:ascii="Times New Roman" w:hAnsi="Times New Roman" w:eastAsia="黑体" w:cs="Times New Roman"/>
              <w:b/>
              <w:bCs/>
              <w:color w:val="000000" w:themeColor="text1"/>
              <w:lang w:val="en-US" w:eastAsia="zh-CN"/>
              <w14:textFill>
                <w14:solidFill>
                  <w14:schemeClr w14:val="tx1"/>
                </w14:solidFill>
              </w14:textFill>
            </w:rPr>
            <w:t xml:space="preserve"> 安全管理机构</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_Toc8899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3678B1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_Toc2139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default" w:ascii="Times New Roman" w:hAnsi="Times New Roman" w:eastAsia="黑体" w:cs="Times New Roman"/>
              <w:b/>
              <w:bCs/>
              <w:color w:val="000000" w:themeColor="text1"/>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 xml:space="preserve">3 </w:t>
          </w:r>
          <w:r>
            <w:rPr>
              <w:rFonts w:hint="default" w:ascii="Times New Roman" w:hAnsi="Times New Roman" w:eastAsia="黑体" w:cs="Times New Roman"/>
              <w:b/>
              <w:bCs/>
              <w:color w:val="000000" w:themeColor="text1"/>
              <w14:textFill>
                <w14:solidFill>
                  <w14:schemeClr w14:val="tx1"/>
                </w14:solidFill>
              </w14:textFill>
            </w:rPr>
            <w:t>安全管理制度、安全生产责任制及安全操作规程</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_Toc2139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23</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330DD3C">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_Toc1972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default" w:ascii="Times New Roman" w:hAnsi="Times New Roman" w:eastAsia="黑体" w:cs="Times New Roman"/>
              <w:b/>
              <w:bCs/>
              <w:color w:val="000000" w:themeColor="text1"/>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 xml:space="preserve">4 </w:t>
          </w:r>
          <w:r>
            <w:rPr>
              <w:rFonts w:hint="default" w:ascii="Times New Roman" w:hAnsi="Times New Roman" w:eastAsia="黑体" w:cs="Times New Roman"/>
              <w:b/>
              <w:bCs/>
              <w:color w:val="000000" w:themeColor="text1"/>
              <w14:textFill>
                <w14:solidFill>
                  <w14:schemeClr w14:val="tx1"/>
                </w14:solidFill>
              </w14:textFill>
            </w:rPr>
            <w:t>安全管理人员及特种作业人员持证上岗情况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_Toc1972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8ADD0D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_Toc21691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default" w:ascii="Times New Roman" w:hAnsi="Times New Roman" w:eastAsia="黑体" w:cs="Times New Roman"/>
              <w:b/>
              <w:bCs/>
              <w:color w:val="000000" w:themeColor="text1"/>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 xml:space="preserve">5 </w:t>
          </w:r>
          <w:r>
            <w:rPr>
              <w:rFonts w:hint="default" w:ascii="Times New Roman" w:hAnsi="Times New Roman" w:eastAsia="黑体" w:cs="Times New Roman"/>
              <w:b/>
              <w:bCs/>
              <w:color w:val="000000" w:themeColor="text1"/>
              <w14:textFill>
                <w14:solidFill>
                  <w14:schemeClr w14:val="tx1"/>
                </w14:solidFill>
              </w14:textFill>
            </w:rPr>
            <w:t>安全生产资金投入</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_Toc21691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A6FAD7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_Toc14887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zh-CN" w:eastAsia="zh-CN"/>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default" w:ascii="Times New Roman" w:hAnsi="Times New Roman" w:eastAsia="黑体" w:cs="Times New Roman"/>
              <w:b/>
              <w:bCs/>
              <w:color w:val="000000" w:themeColor="text1"/>
              <w:lang w:val="zh-CN"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 xml:space="preserve">6 </w:t>
          </w:r>
          <w:r>
            <w:rPr>
              <w:rFonts w:hint="default" w:ascii="Times New Roman" w:hAnsi="Times New Roman" w:eastAsia="黑体" w:cs="Times New Roman"/>
              <w:b/>
              <w:bCs/>
              <w:color w:val="000000" w:themeColor="text1"/>
              <w:lang w:val="zh-CN" w:eastAsia="zh-CN"/>
              <w14:textFill>
                <w14:solidFill>
                  <w14:schemeClr w14:val="tx1"/>
                </w14:solidFill>
              </w14:textFill>
            </w:rPr>
            <w:t>劳动防护用品的配备</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_Toc14887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73457ED">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_Toc23375 </w:instrText>
          </w:r>
          <w:r>
            <w:rPr>
              <w:b/>
              <w:bCs/>
              <w:color w:val="000000" w:themeColor="text1"/>
              <w14:textFill>
                <w14:solidFill>
                  <w14:schemeClr w14:val="tx1"/>
                </w14:solidFill>
              </w14:textFill>
            </w:rPr>
            <w:fldChar w:fldCharType="separate"/>
          </w:r>
          <w:r>
            <w:rPr>
              <w:rFonts w:hint="eastAsia" w:ascii="Times New Roman" w:hAnsi="Times New Roman" w:eastAsia="黑体" w:cs="Times New Roman"/>
              <w:b/>
              <w:bCs/>
              <w:color w:val="000000" w:themeColor="text1"/>
              <w:lang w:val="zh-CN" w:eastAsia="zh-CN"/>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eastAsia" w:ascii="Times New Roman" w:hAnsi="Times New Roman" w:eastAsia="黑体" w:cs="Times New Roman"/>
              <w:b/>
              <w:bCs/>
              <w:color w:val="000000" w:themeColor="text1"/>
              <w:lang w:val="zh-CN"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 xml:space="preserve">7 </w:t>
          </w:r>
          <w:r>
            <w:rPr>
              <w:rFonts w:hint="eastAsia" w:ascii="Times New Roman" w:hAnsi="Times New Roman" w:eastAsia="黑体" w:cs="Times New Roman"/>
              <w:b/>
              <w:bCs/>
              <w:color w:val="000000" w:themeColor="text1"/>
              <w:lang w:val="zh-CN" w:eastAsia="zh-CN"/>
              <w14:textFill>
                <w14:solidFill>
                  <w14:schemeClr w14:val="tx1"/>
                </w14:solidFill>
              </w14:textFill>
            </w:rPr>
            <w:t>安全警示、标志</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_Toc23375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F5DB416">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_Toc7873 </w:instrText>
          </w:r>
          <w:r>
            <w:rPr>
              <w:b/>
              <w:bCs/>
              <w:color w:val="000000" w:themeColor="text1"/>
              <w14:textFill>
                <w14:solidFill>
                  <w14:schemeClr w14:val="tx1"/>
                </w14:solidFill>
              </w14:textFill>
            </w:rPr>
            <w:fldChar w:fldCharType="separate"/>
          </w:r>
          <w:r>
            <w:rPr>
              <w:rFonts w:hint="eastAsia" w:ascii="Times New Roman" w:hAnsi="Times New Roman" w:eastAsia="黑体" w:cs="Times New Roman"/>
              <w:b/>
              <w:bCs/>
              <w:color w:val="000000" w:themeColor="text1"/>
              <w:lang w:val="zh-CN" w:eastAsia="zh-CN"/>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eastAsia" w:ascii="Times New Roman" w:hAnsi="Times New Roman" w:eastAsia="黑体" w:cs="Times New Roman"/>
              <w:b/>
              <w:bCs/>
              <w:color w:val="000000" w:themeColor="text1"/>
              <w:lang w:val="zh-CN"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 xml:space="preserve">8 </w:t>
          </w:r>
          <w:r>
            <w:rPr>
              <w:rFonts w:hint="eastAsia" w:ascii="Times New Roman" w:hAnsi="Times New Roman" w:eastAsia="黑体" w:cs="Times New Roman"/>
              <w:b/>
              <w:bCs/>
              <w:color w:val="000000" w:themeColor="text1"/>
              <w:lang w:val="zh-CN" w:eastAsia="zh-CN"/>
              <w14:textFill>
                <w14:solidFill>
                  <w14:schemeClr w14:val="tx1"/>
                </w14:solidFill>
              </w14:textFill>
            </w:rPr>
            <w:t>应急救援预案</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_Toc7873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10EE8D9">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_Toc20000 </w:instrText>
          </w:r>
          <w:r>
            <w:rPr>
              <w:b/>
              <w:bCs/>
              <w:color w:val="000000" w:themeColor="text1"/>
              <w14:textFill>
                <w14:solidFill>
                  <w14:schemeClr w14:val="tx1"/>
                </w14:solidFill>
              </w14:textFill>
            </w:rPr>
            <w:fldChar w:fldCharType="separate"/>
          </w:r>
          <w:r>
            <w:rPr>
              <w:rFonts w:hint="eastAsia" w:ascii="Times New Roman" w:hAnsi="Times New Roman" w:eastAsia="黑体" w:cs="Times New Roman"/>
              <w:b/>
              <w:bCs/>
              <w:color w:val="000000" w:themeColor="text1"/>
              <w:lang w:val="zh-CN" w:eastAsia="zh-CN"/>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eastAsia" w:ascii="Times New Roman" w:hAnsi="Times New Roman" w:eastAsia="黑体" w:cs="Times New Roman"/>
              <w:b/>
              <w:bCs/>
              <w:color w:val="000000" w:themeColor="text1"/>
              <w:lang w:val="zh-CN"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 xml:space="preserve">9 </w:t>
          </w:r>
          <w:r>
            <w:rPr>
              <w:rFonts w:hint="eastAsia" w:ascii="Times New Roman" w:hAnsi="Times New Roman" w:eastAsia="黑体" w:cs="Times New Roman"/>
              <w:b/>
              <w:bCs/>
              <w:color w:val="000000" w:themeColor="text1"/>
              <w:lang w:val="zh-CN" w:eastAsia="zh-CN"/>
              <w14:textFill>
                <w14:solidFill>
                  <w14:schemeClr w14:val="tx1"/>
                </w14:solidFill>
              </w14:textFill>
            </w:rPr>
            <w:t>保险缴纳情况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_Toc20000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E3B65E4">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_Toc18323 </w:instrText>
          </w:r>
          <w:r>
            <w:rPr>
              <w:b/>
              <w:bCs/>
              <w:color w:val="000000" w:themeColor="text1"/>
              <w14:textFill>
                <w14:solidFill>
                  <w14:schemeClr w14:val="tx1"/>
                </w14:solidFill>
              </w14:textFill>
            </w:rPr>
            <w:fldChar w:fldCharType="separate"/>
          </w:r>
          <w:r>
            <w:rPr>
              <w:rFonts w:hint="eastAsia" w:ascii="Times New Roman" w:hAnsi="Times New Roman" w:eastAsia="黑体" w:cs="Times New Roman"/>
              <w:b/>
              <w:bCs/>
              <w:color w:val="000000" w:themeColor="text1"/>
              <w:lang w:val="zh-CN" w:eastAsia="zh-CN"/>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eastAsia" w:ascii="Times New Roman" w:hAnsi="Times New Roman" w:eastAsia="黑体" w:cs="Times New Roman"/>
              <w:b/>
              <w:bCs/>
              <w:color w:val="000000" w:themeColor="text1"/>
              <w:lang w:val="zh-CN" w:eastAsia="zh-CN"/>
              <w14:textFill>
                <w14:solidFill>
                  <w14:schemeClr w14:val="tx1"/>
                </w14:solidFill>
              </w14:textFill>
            </w:rPr>
            <w:t>.1</w:t>
          </w:r>
          <w:r>
            <w:rPr>
              <w:rFonts w:hint="eastAsia" w:ascii="Times New Roman" w:hAnsi="Times New Roman" w:cs="Times New Roman"/>
              <w:b/>
              <w:bCs/>
              <w:color w:val="000000" w:themeColor="text1"/>
              <w:lang w:val="en-US" w:eastAsia="zh-CN"/>
              <w14:textFill>
                <w14:solidFill>
                  <w14:schemeClr w14:val="tx1"/>
                </w14:solidFill>
              </w14:textFill>
            </w:rPr>
            <w:t>0</w:t>
          </w:r>
          <w:r>
            <w:rPr>
              <w:rFonts w:hint="eastAsia" w:ascii="Times New Roman" w:hAnsi="Times New Roman" w:eastAsia="黑体" w:cs="Times New Roman"/>
              <w:b/>
              <w:bCs/>
              <w:color w:val="000000" w:themeColor="text1"/>
              <w:lang w:val="zh-CN" w:eastAsia="zh-CN"/>
              <w14:textFill>
                <w14:solidFill>
                  <w14:schemeClr w14:val="tx1"/>
                </w14:solidFill>
              </w14:textFill>
            </w:rPr>
            <w:t>有限空间作业开展情况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_Toc18323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30830FD">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_Toc9850 </w:instrText>
          </w:r>
          <w:r>
            <w:rPr>
              <w:b/>
              <w:bCs/>
              <w:color w:val="000000" w:themeColor="text1"/>
              <w14:textFill>
                <w14:solidFill>
                  <w14:schemeClr w14:val="tx1"/>
                </w14:solidFill>
              </w14:textFill>
            </w:rPr>
            <w:fldChar w:fldCharType="separate"/>
          </w:r>
          <w:r>
            <w:rPr>
              <w:rFonts w:hint="eastAsia" w:ascii="Times New Roman" w:hAnsi="Times New Roman" w:eastAsia="黑体" w:cs="Times New Roman"/>
              <w:b/>
              <w:bCs/>
              <w:color w:val="000000" w:themeColor="text1"/>
              <w:lang w:val="zh-CN" w:eastAsia="zh-CN"/>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eastAsia" w:ascii="Times New Roman" w:hAnsi="Times New Roman" w:eastAsia="黑体" w:cs="Times New Roman"/>
              <w:b/>
              <w:bCs/>
              <w:color w:val="000000" w:themeColor="text1"/>
              <w:lang w:val="zh-CN"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11</w:t>
          </w:r>
          <w:r>
            <w:rPr>
              <w:rFonts w:hint="eastAsia" w:ascii="Times New Roman" w:hAnsi="Times New Roman" w:eastAsia="黑体" w:cs="Times New Roman"/>
              <w:b/>
              <w:bCs/>
              <w:color w:val="000000" w:themeColor="text1"/>
              <w:lang w:val="zh-CN" w:eastAsia="zh-CN"/>
              <w14:textFill>
                <w14:solidFill>
                  <w14:schemeClr w14:val="tx1"/>
                </w14:solidFill>
              </w14:textFill>
            </w:rPr>
            <w:t>安全生产标准化创建情况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_Toc9850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CE1C529">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_Toc16947 </w:instrText>
          </w:r>
          <w:r>
            <w:rPr>
              <w:b/>
              <w:bCs/>
              <w:color w:val="000000" w:themeColor="text1"/>
              <w14:textFill>
                <w14:solidFill>
                  <w14:schemeClr w14:val="tx1"/>
                </w14:solidFill>
              </w14:textFill>
            </w:rPr>
            <w:fldChar w:fldCharType="separate"/>
          </w:r>
          <w:r>
            <w:rPr>
              <w:rFonts w:hint="eastAsia" w:ascii="Times New Roman" w:hAnsi="Times New Roman" w:eastAsia="黑体" w:cs="Times New Roman"/>
              <w:b/>
              <w:bCs/>
              <w:color w:val="000000" w:themeColor="text1"/>
              <w:lang w:val="zh-CN" w:eastAsia="zh-CN"/>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6</w:t>
          </w:r>
          <w:r>
            <w:rPr>
              <w:rFonts w:hint="eastAsia" w:ascii="Times New Roman" w:hAnsi="Times New Roman" w:eastAsia="黑体" w:cs="Times New Roman"/>
              <w:b/>
              <w:bCs/>
              <w:color w:val="000000" w:themeColor="text1"/>
              <w:lang w:val="zh-CN" w:eastAsia="zh-CN"/>
              <w14:textFill>
                <w14:solidFill>
                  <w14:schemeClr w14:val="tx1"/>
                </w14:solidFill>
              </w14:textFill>
            </w:rPr>
            <w:t>.</w:t>
          </w:r>
          <w:r>
            <w:rPr>
              <w:rFonts w:hint="eastAsia" w:ascii="Times New Roman" w:hAnsi="Times New Roman" w:eastAsia="黑体" w:cs="Times New Roman"/>
              <w:b/>
              <w:bCs/>
              <w:color w:val="000000" w:themeColor="text1"/>
              <w:lang w:val="en-US" w:eastAsia="zh-CN"/>
              <w14:textFill>
                <w14:solidFill>
                  <w14:schemeClr w14:val="tx1"/>
                </w14:solidFill>
              </w14:textFill>
            </w:rPr>
            <w:t>1</w:t>
          </w:r>
          <w:r>
            <w:rPr>
              <w:rFonts w:hint="eastAsia" w:ascii="Times New Roman" w:hAnsi="Times New Roman" w:cs="Times New Roman"/>
              <w:b/>
              <w:bCs/>
              <w:color w:val="000000" w:themeColor="text1"/>
              <w:lang w:val="en-US" w:eastAsia="zh-CN"/>
              <w14:textFill>
                <w14:solidFill>
                  <w14:schemeClr w14:val="tx1"/>
                </w14:solidFill>
              </w14:textFill>
            </w:rPr>
            <w:t>2</w:t>
          </w:r>
          <w:r>
            <w:rPr>
              <w:rFonts w:hint="eastAsia" w:ascii="Times New Roman" w:hAnsi="Times New Roman" w:eastAsia="黑体" w:cs="Times New Roman"/>
              <w:b/>
              <w:bCs/>
              <w:color w:val="000000" w:themeColor="text1"/>
              <w:lang w:val="en-US" w:eastAsia="zh-CN"/>
              <w14:textFill>
                <w14:solidFill>
                  <w14:schemeClr w14:val="tx1"/>
                </w14:solidFill>
              </w14:textFill>
            </w:rPr>
            <w:t xml:space="preserve"> 安全生产情况</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_Toc16947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842E058">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_Toc14125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 xml:space="preserve">7 </w:t>
          </w:r>
          <w:r>
            <w:rPr>
              <w:rFonts w:hint="default" w:ascii="Times New Roman" w:hAnsi="Times New Roman" w:eastAsia="楷体" w:cs="Times New Roman"/>
              <w:b/>
              <w:bCs/>
              <w:color w:val="000000" w:themeColor="text1"/>
              <w14:textFill>
                <w14:solidFill>
                  <w14:schemeClr w14:val="tx1"/>
                </w14:solidFill>
              </w14:textFill>
            </w:rPr>
            <w:t>现场照片</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_Toc14125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28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1E0B744">
          <w:pPr>
            <w:pStyle w:val="34"/>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_Toc27513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第3章  主要危险、有害因素辨识与分析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_Toc27513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7D5BDDC">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_Toc4566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3.1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辨识与分析的目的</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_Toc4566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103134F">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_Toc7726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3.</w:t>
          </w:r>
          <w:r>
            <w:rPr>
              <w:rFonts w:hint="default" w:ascii="Times New Roman" w:hAnsi="Times New Roman" w:eastAsia="楷体" w:cs="Times New Roman"/>
              <w:b/>
              <w:bCs/>
              <w:color w:val="000000" w:themeColor="text1"/>
              <w:lang w:val="en-US" w:eastAsia="zh-CN"/>
              <w14:textFill>
                <w14:solidFill>
                  <w14:schemeClr w14:val="tx1"/>
                </w14:solidFill>
              </w14:textFill>
            </w:rPr>
            <w:t>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辨识与分析的依据</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_Toc7726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5DE86CE">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_Toc24396 </w:instrText>
          </w:r>
          <w:r>
            <w:rPr>
              <w:b/>
              <w:bCs/>
              <w:color w:val="000000" w:themeColor="text1"/>
              <w14:textFill>
                <w14:solidFill>
                  <w14:schemeClr w14:val="tx1"/>
                </w14:solidFill>
              </w14:textFill>
            </w:rPr>
            <w:fldChar w:fldCharType="separate"/>
          </w:r>
          <w:r>
            <w:rPr>
              <w:rFonts w:hint="eastAsia" w:ascii="Times New Roman" w:hAnsi="Times New Roman" w:cs="Times New Roman"/>
              <w:b/>
              <w:bCs/>
              <w:color w:val="000000" w:themeColor="text1"/>
              <w:lang w:val="en-US" w:eastAsia="zh-CN"/>
              <w14:textFill>
                <w14:solidFill>
                  <w14:schemeClr w14:val="tx1"/>
                </w14:solidFill>
              </w14:textFill>
            </w:rPr>
            <w:t>3.3</w:t>
          </w:r>
          <w:r>
            <w:rPr>
              <w:rFonts w:hint="default" w:ascii="Times New Roman" w:hAnsi="Times New Roman" w:eastAsia="楷体" w:cs="Times New Roman"/>
              <w:b/>
              <w:bCs/>
              <w:color w:val="000000" w:themeColor="text1"/>
              <w14:textFill>
                <w14:solidFill>
                  <w14:schemeClr w14:val="tx1"/>
                </w14:solidFill>
              </w14:textFill>
            </w:rPr>
            <w:t>危险、有害因素产生的原因</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_Toc24396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33</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A183B6A">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_Toc31794 </w:instrText>
          </w:r>
          <w:r>
            <w:rPr>
              <w:b/>
              <w:bCs/>
              <w:color w:val="000000" w:themeColor="text1"/>
              <w14:textFill>
                <w14:solidFill>
                  <w14:schemeClr w14:val="tx1"/>
                </w14:solidFill>
              </w14:textFill>
            </w:rPr>
            <w:fldChar w:fldCharType="separate"/>
          </w:r>
          <w:r>
            <w:rPr>
              <w:rFonts w:hint="eastAsia" w:ascii="Times New Roman" w:hAnsi="Times New Roman" w:cs="Times New Roman"/>
              <w:b/>
              <w:bCs/>
              <w:color w:val="000000" w:themeColor="text1"/>
              <w:lang w:val="en-US" w:eastAsia="zh-CN"/>
              <w14:textFill>
                <w14:solidFill>
                  <w14:schemeClr w14:val="tx1"/>
                </w14:solidFill>
              </w14:textFill>
            </w:rPr>
            <w:t>3.3.1</w:t>
          </w:r>
          <w:r>
            <w:rPr>
              <w:rFonts w:hint="eastAsia" w:ascii="Times New Roman" w:hAnsi="Times New Roman" w:eastAsia="黑体" w:cs="Times New Roman"/>
              <w:b/>
              <w:bCs/>
              <w:color w:val="000000" w:themeColor="text1"/>
              <w:lang w:val="zh-CN" w:eastAsia="zh-CN"/>
              <w14:textFill>
                <w14:solidFill>
                  <w14:schemeClr w14:val="tx1"/>
                </w14:solidFill>
              </w14:textFill>
            </w:rPr>
            <w:t>运行失控与设备故障</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_Toc31794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33</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2D04FE9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_Toc3244 </w:instrText>
          </w:r>
          <w:r>
            <w:rPr>
              <w:b/>
              <w:bCs/>
              <w:color w:val="000000" w:themeColor="text1"/>
              <w14:textFill>
                <w14:solidFill>
                  <w14:schemeClr w14:val="tx1"/>
                </w14:solidFill>
              </w14:textFill>
            </w:rPr>
            <w:fldChar w:fldCharType="separate"/>
          </w:r>
          <w:r>
            <w:rPr>
              <w:rFonts w:hint="eastAsia" w:ascii="Times New Roman" w:hAnsi="Times New Roman" w:cs="Times New Roman"/>
              <w:b/>
              <w:bCs/>
              <w:color w:val="000000" w:themeColor="text1"/>
              <w:lang w:val="en-US" w:eastAsia="zh-CN"/>
              <w14:textFill>
                <w14:solidFill>
                  <w14:schemeClr w14:val="tx1"/>
                </w14:solidFill>
              </w14:textFill>
            </w:rPr>
            <w:t>3.3.2人员失误</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_Toc3244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DFCA34B">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_Toc19947 </w:instrText>
          </w:r>
          <w:r>
            <w:rPr>
              <w:b/>
              <w:bCs/>
              <w:color w:val="000000" w:themeColor="text1"/>
              <w14:textFill>
                <w14:solidFill>
                  <w14:schemeClr w14:val="tx1"/>
                </w14:solidFill>
              </w14:textFill>
            </w:rPr>
            <w:fldChar w:fldCharType="separate"/>
          </w:r>
          <w:r>
            <w:rPr>
              <w:rFonts w:hint="eastAsia" w:ascii="Times New Roman" w:hAnsi="Times New Roman" w:cs="Times New Roman"/>
              <w:b/>
              <w:bCs/>
              <w:color w:val="000000" w:themeColor="text1"/>
              <w:lang w:val="en-US" w:eastAsia="zh-CN"/>
              <w14:textFill>
                <w14:solidFill>
                  <w14:schemeClr w14:val="tx1"/>
                </w14:solidFill>
              </w14:textFill>
            </w:rPr>
            <w:t>3.3.3管理缺陷</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_Toc19947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3C35BBA">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_Toc31131 </w:instrText>
          </w:r>
          <w:r>
            <w:rPr>
              <w:b/>
              <w:bCs/>
              <w:color w:val="000000" w:themeColor="text1"/>
              <w14:textFill>
                <w14:solidFill>
                  <w14:schemeClr w14:val="tx1"/>
                </w14:solidFill>
              </w14:textFill>
            </w:rPr>
            <w:fldChar w:fldCharType="separate"/>
          </w:r>
          <w:r>
            <w:rPr>
              <w:rFonts w:hint="eastAsia" w:ascii="Times New Roman" w:hAnsi="Times New Roman" w:cs="Times New Roman"/>
              <w:b/>
              <w:bCs/>
              <w:color w:val="000000" w:themeColor="text1"/>
              <w:lang w:val="en-US" w:eastAsia="zh-CN"/>
              <w14:textFill>
                <w14:solidFill>
                  <w14:schemeClr w14:val="tx1"/>
                </w14:solidFill>
              </w14:textFill>
            </w:rPr>
            <w:t>3.3.4环境因素</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_Toc31131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2E44342">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_Toc4593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3.</w:t>
          </w:r>
          <w:r>
            <w:rPr>
              <w:rFonts w:hint="default" w:ascii="Times New Roman" w:hAnsi="Times New Roman" w:eastAsia="楷体" w:cs="Times New Roman"/>
              <w:b/>
              <w:bCs/>
              <w:color w:val="000000" w:themeColor="text1"/>
              <w:lang w:val="en-US" w:eastAsia="zh-CN"/>
              <w14:textFill>
                <w14:solidFill>
                  <w14:schemeClr w14:val="tx1"/>
                </w14:solidFill>
              </w14:textFill>
            </w:rPr>
            <w:t>4</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主要危险、有害物质</w:t>
          </w:r>
          <w:r>
            <w:rPr>
              <w:rFonts w:hint="eastAsia" w:ascii="Times New Roman" w:hAnsi="Times New Roman" w:cs="Times New Roman"/>
              <w:b/>
              <w:bCs/>
              <w:color w:val="000000" w:themeColor="text1"/>
              <w:lang w:val="en-US" w:eastAsia="zh-CN"/>
              <w14:textFill>
                <w14:solidFill>
                  <w14:schemeClr w14:val="tx1"/>
                </w14:solidFill>
              </w14:textFill>
            </w:rPr>
            <w:t>辨识与分析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_Toc4593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4E1C089">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_Toc31154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3.4.1主要危险、有害物质辨识</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_Toc31154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0E8738B">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_Toc26451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3.4.2危险化学品辨识</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_Toc26451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061A9E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_Toc18995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3.4.</w:t>
          </w:r>
          <w:r>
            <w:rPr>
              <w:rFonts w:hint="eastAsia" w:ascii="Times New Roman" w:hAnsi="Times New Roman" w:cs="Times New Roman"/>
              <w:b/>
              <w:bCs/>
              <w:color w:val="000000" w:themeColor="text1"/>
              <w:lang w:val="en-US" w:eastAsia="zh-CN"/>
              <w14:textFill>
                <w14:solidFill>
                  <w14:schemeClr w14:val="tx1"/>
                </w14:solidFill>
              </w14:textFill>
            </w:rPr>
            <w:t>3 危险物质的理化特性</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_Toc18995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36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4157594">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_Toc3830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3.4.</w:t>
          </w:r>
          <w:r>
            <w:rPr>
              <w:rFonts w:hint="eastAsia" w:ascii="Times New Roman" w:hAnsi="Times New Roman" w:cs="Times New Roman"/>
              <w:b/>
              <w:bCs/>
              <w:color w:val="000000" w:themeColor="text1"/>
              <w:lang w:val="en-US" w:eastAsia="zh-CN"/>
              <w14:textFill>
                <w14:solidFill>
                  <w14:schemeClr w14:val="tx1"/>
                </w14:solidFill>
              </w14:textFill>
            </w:rPr>
            <w:t xml:space="preserve">4 </w:t>
          </w:r>
          <w:r>
            <w:rPr>
              <w:rFonts w:hint="default" w:ascii="Times New Roman" w:hAnsi="Times New Roman" w:cs="Times New Roman"/>
              <w:b/>
              <w:bCs/>
              <w:color w:val="000000" w:themeColor="text1"/>
              <w:lang w:val="en-US" w:eastAsia="zh-CN"/>
              <w14:textFill>
                <w14:solidFill>
                  <w14:schemeClr w14:val="tx1"/>
                </w14:solidFill>
              </w14:textFill>
            </w:rPr>
            <w:t>物质危险特性汇总表</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_Toc3830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44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A391EA3">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_Toc26230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3.5主要危险、有害因素辨识与分析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_Toc26230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45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CBEC9BC">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_Toc25805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3.5.1厂址危险性分析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_Toc25805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45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FE0AB6E">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_Toc14512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3.5.2总平面布置危险性分析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_Toc14512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47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DE8A28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_Toc30724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3.5.3主要生产工序及设备危险、有害因素分析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_Toc30724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48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9F693C1">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_Toc20992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3.5.4公用工程和辅助设施的危险、有害因素辨识</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_Toc20992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54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83D913F">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_Toc24916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3.6主要危险、有害因素类别分析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_Toc24916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57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E3DC4C3">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_Toc27630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3.6.1火灾危险性分析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_Toc27630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57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CF4846E">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_Toc12564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3.6.2容器爆炸危险性分析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_Toc12564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59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23292F08">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_Toc18099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3.6.3机械伤害危险性分析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_Toc18099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CF9E4CF">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_Toc23244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3.6.4高处坠落危险性分析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_Toc23244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9EF65B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_Toc21264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3.6.5触电事故危险性素分析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_Toc21264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A9CDF4A">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_Toc29259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3.6.6物体打击危险性分析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_Toc29259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9EBF1E1">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_Toc19317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3.6.7灼烫危险性分析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_Toc19317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7B18FE8">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_Toc28310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3.6.8车辆伤害危险性分析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_Toc28310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63</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33E04F6">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_Toc16327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3.6.9坍塌危险性分析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_Toc16327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5D8A4F8">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_Toc2346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3.6.10中毒和窒息危险性分析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_Toc2346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7B9864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_Toc28688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3.6.11静电、雷电危险性分析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_Toc28688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795CD62">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_Toc17506 </w:instrText>
          </w:r>
          <w:r>
            <w:rPr>
              <w:b/>
              <w:bCs/>
              <w:color w:val="000000" w:themeColor="text1"/>
              <w14:textFill>
                <w14:solidFill>
                  <w14:schemeClr w14:val="tx1"/>
                </w14:solidFill>
              </w14:textFill>
            </w:rPr>
            <w:fldChar w:fldCharType="separate"/>
          </w:r>
          <w:r>
            <w:rPr>
              <w:rFonts w:hint="eastAsia" w:ascii="Times New Roman" w:hAnsi="Times New Roman" w:cs="Times New Roman"/>
              <w:b/>
              <w:bCs/>
              <w:color w:val="000000" w:themeColor="text1"/>
              <w:lang w:val="en-US" w:eastAsia="zh-CN"/>
              <w14:textFill>
                <w14:solidFill>
                  <w14:schemeClr w14:val="tx1"/>
                </w14:solidFill>
              </w14:textFill>
            </w:rPr>
            <w:t>3.6.12</w:t>
          </w:r>
          <w:r>
            <w:rPr>
              <w:rFonts w:hint="default" w:ascii="Times New Roman" w:hAnsi="Times New Roman" w:cs="Times New Roman"/>
              <w:b/>
              <w:bCs/>
              <w:color w:val="000000" w:themeColor="text1"/>
              <w:lang w:val="en-US" w:eastAsia="zh-CN"/>
              <w14:textFill>
                <w14:solidFill>
                  <w14:schemeClr w14:val="tx1"/>
                </w14:solidFill>
              </w14:textFill>
            </w:rPr>
            <w:t>淹溺</w:t>
          </w:r>
          <w:r>
            <w:rPr>
              <w:rFonts w:hint="eastAsia" w:ascii="Times New Roman" w:hAnsi="Times New Roman" w:cs="Times New Roman"/>
              <w:b/>
              <w:bCs/>
              <w:color w:val="000000" w:themeColor="text1"/>
              <w:lang w:val="en-US" w:eastAsia="zh-CN"/>
              <w14:textFill>
                <w14:solidFill>
                  <w14:schemeClr w14:val="tx1"/>
                </w14:solidFill>
              </w14:textFill>
            </w:rPr>
            <w:t>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_Toc17506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4499D39">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_Toc30161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w:t>
          </w:r>
          <w:r>
            <w:rPr>
              <w:rFonts w:hint="eastAsia" w:ascii="Times New Roman" w:hAnsi="Times New Roman" w:cs="Times New Roman"/>
              <w:b/>
              <w:bCs/>
              <w:color w:val="000000" w:themeColor="text1"/>
              <w:lang w:val="en-US" w:eastAsia="zh-CN"/>
              <w14:textFill>
                <w14:solidFill>
                  <w14:schemeClr w14:val="tx1"/>
                </w14:solidFill>
              </w14:textFill>
            </w:rPr>
            <w:t>6</w:t>
          </w:r>
          <w:r>
            <w:rPr>
              <w:rFonts w:hint="default" w:ascii="Times New Roman" w:hAnsi="Times New Roman" w:cs="Times New Roman"/>
              <w:b/>
              <w:bCs/>
              <w:color w:val="000000" w:themeColor="text1"/>
              <w:lang w:val="en-US"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 xml:space="preserve">13 </w:t>
          </w:r>
          <w:r>
            <w:rPr>
              <w:rFonts w:hint="default" w:ascii="Times New Roman" w:hAnsi="Times New Roman" w:cs="Times New Roman"/>
              <w:b/>
              <w:bCs/>
              <w:color w:val="000000" w:themeColor="text1"/>
              <w:lang w:val="en-US" w:eastAsia="zh-CN"/>
              <w14:textFill>
                <w14:solidFill>
                  <w14:schemeClr w14:val="tx1"/>
                </w14:solidFill>
              </w14:textFill>
            </w:rPr>
            <w:t>起重伤害</w:t>
          </w:r>
          <w:r>
            <w:rPr>
              <w:rFonts w:hint="eastAsia" w:ascii="Times New Roman" w:hAnsi="Times New Roman" w:cs="Times New Roman"/>
              <w:b/>
              <w:bCs/>
              <w:color w:val="000000" w:themeColor="text1"/>
              <w:lang w:val="en-US" w:eastAsia="zh-CN"/>
              <w14:textFill>
                <w14:solidFill>
                  <w14:schemeClr w14:val="tx1"/>
                </w14:solidFill>
              </w14:textFill>
            </w:rPr>
            <w:t>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_Toc30161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A0B35E0">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_Toc14853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3.6.1</w:t>
          </w:r>
          <w:r>
            <w:rPr>
              <w:rFonts w:hint="eastAsia" w:ascii="Times New Roman" w:hAnsi="Times New Roman" w:cs="Times New Roman"/>
              <w:b/>
              <w:bCs/>
              <w:color w:val="000000" w:themeColor="text1"/>
              <w:lang w:val="en-US" w:eastAsia="zh-CN"/>
              <w14:textFill>
                <w14:solidFill>
                  <w14:schemeClr w14:val="tx1"/>
                </w14:solidFill>
              </w14:textFill>
            </w:rPr>
            <w:t>4</w:t>
          </w:r>
          <w:r>
            <w:rPr>
              <w:rFonts w:hint="default" w:ascii="Times New Roman" w:hAnsi="Times New Roman" w:cs="Times New Roman"/>
              <w:b/>
              <w:bCs/>
              <w:color w:val="000000" w:themeColor="text1"/>
              <w:lang w:val="en-US" w:eastAsia="zh-CN"/>
              <w14:textFill>
                <w14:solidFill>
                  <w14:schemeClr w14:val="tx1"/>
                </w14:solidFill>
              </w14:textFill>
            </w:rPr>
            <w:t>其他伤害危险性分析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_Toc14853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125809F">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_Toc30935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3.7特殊作业危险性分析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_Toc30935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C6FE1AB">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_Toc6980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3.7.1有限空间作业危险性分析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_Toc6980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DB90C6F">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_Toc21439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3.7.2临时用电作业危险、有害因素分析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_Toc21439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2D36B885">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_Toc21942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3.7.3动火作业危险、有害因素分析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_Toc21942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69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91B6569">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_Toc28044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3.7.4高处作业危险、有害因素分析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_Toc28044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344BBE6">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_Toc11531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3.8设备检维修过程危险、有害因素分析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_Toc11531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256246E">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_Toc30972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3.9安全管理危险性分析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_Toc30972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C3805BE">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_Toc22418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3.9.1安全管理组织体系方面危险性分析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_Toc22418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9B8A06D">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_Toc3969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3.9.2安全管理制度方面危险性分析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_Toc3969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73</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2CA40752">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_Toc23502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3.9.3事故应急方面危险性分析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_Toc23502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73</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53E5331">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_Toc3339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3.10重大危险源辨识</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_Toc3339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E3F9E10">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_Toc8092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3.10.1方法介绍</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_Toc8092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74</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FAAA976">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_Toc31486 </w:instrText>
          </w:r>
          <w:r>
            <w:rPr>
              <w:b/>
              <w:bCs/>
              <w:color w:val="000000" w:themeColor="text1"/>
              <w14:textFill>
                <w14:solidFill>
                  <w14:schemeClr w14:val="tx1"/>
                </w14:solidFill>
              </w14:textFill>
            </w:rPr>
            <w:fldChar w:fldCharType="separate"/>
          </w:r>
          <w:r>
            <w:rPr>
              <w:rFonts w:hint="default" w:ascii="Times New Roman" w:hAnsi="Times New Roman" w:cs="Times New Roman"/>
              <w:b/>
              <w:bCs/>
              <w:color w:val="000000" w:themeColor="text1"/>
              <w:lang w:val="en-US" w:eastAsia="zh-CN"/>
              <w14:textFill>
                <w14:solidFill>
                  <w14:schemeClr w14:val="tx1"/>
                </w14:solidFill>
              </w14:textFill>
            </w:rPr>
            <w:t>3.10.2辨识过程及结果</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_Toc31486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D1E087B">
          <w:pPr>
            <w:pStyle w:val="34"/>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_Toc24007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第4章  评价单元划分及评价方法选择</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_Toc24007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3D2E15B">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_Toc3088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4.1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安全评价单元划分</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_Toc3088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83254FD">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_Toc7417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4.1.1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lang w:val="en-US" w:eastAsia="zh-CN"/>
              <w14:textFill>
                <w14:solidFill>
                  <w14:schemeClr w14:val="tx1"/>
                </w14:solidFill>
              </w14:textFill>
            </w:rPr>
            <w:t>评价单元划分原则</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_Toc7417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BB79D71">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_Toc30691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4.1.2评价单元划分方法</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_Toc30691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B705642">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_Toc23396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4.2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评价单元划分结果</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_Toc23396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B848A62">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_Toc15506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4.3</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评价方法的确定</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_Toc15506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8F8EEBF">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_Toc31908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4.4</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评价方法介绍</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_Toc31908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979870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_Toc15758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4.</w:t>
          </w:r>
          <w:r>
            <w:rPr>
              <w:rFonts w:hint="eastAsia" w:ascii="Times New Roman" w:hAnsi="Times New Roman" w:cs="Times New Roman"/>
              <w:b/>
              <w:bCs/>
              <w:color w:val="000000" w:themeColor="text1"/>
              <w:lang w:val="en-US" w:eastAsia="zh-CN"/>
              <w14:textFill>
                <w14:solidFill>
                  <w14:schemeClr w14:val="tx1"/>
                </w14:solidFill>
              </w14:textFill>
            </w:rPr>
            <w:t>4.</w:t>
          </w:r>
          <w:r>
            <w:rPr>
              <w:rFonts w:hint="default" w:ascii="Times New Roman" w:hAnsi="Times New Roman" w:eastAsia="黑体" w:cs="Times New Roman"/>
              <w:b/>
              <w:bCs/>
              <w:color w:val="000000" w:themeColor="text1"/>
              <w:lang w:val="en-US" w:eastAsia="zh-CN"/>
              <w14:textFill>
                <w14:solidFill>
                  <w14:schemeClr w14:val="tx1"/>
                </w14:solidFill>
              </w14:textFill>
            </w:rPr>
            <w:t>1安全检查表法（SCA）</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_Toc15758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7867ECA">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_Toc13212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4.</w:t>
          </w:r>
          <w:r>
            <w:rPr>
              <w:rFonts w:hint="eastAsia" w:ascii="Times New Roman" w:hAnsi="Times New Roman" w:cs="Times New Roman"/>
              <w:b/>
              <w:bCs/>
              <w:color w:val="000000" w:themeColor="text1"/>
              <w:lang w:val="en-US" w:eastAsia="zh-CN"/>
              <w14:textFill>
                <w14:solidFill>
                  <w14:schemeClr w14:val="tx1"/>
                </w14:solidFill>
              </w14:textFill>
            </w:rPr>
            <w:t>4</w:t>
          </w:r>
          <w:r>
            <w:rPr>
              <w:rFonts w:hint="default" w:ascii="Times New Roman" w:hAnsi="Times New Roman" w:eastAsia="黑体" w:cs="Times New Roman"/>
              <w:b/>
              <w:bCs/>
              <w:color w:val="000000" w:themeColor="text1"/>
              <w:lang w:val="en-US"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2</w:t>
          </w:r>
          <w:r>
            <w:rPr>
              <w:rFonts w:hint="default" w:ascii="Times New Roman" w:hAnsi="Times New Roman" w:eastAsia="黑体" w:cs="Times New Roman"/>
              <w:b/>
              <w:bCs/>
              <w:color w:val="000000" w:themeColor="text1"/>
              <w:lang w:val="en-US" w:eastAsia="zh-CN"/>
              <w14:textFill>
                <w14:solidFill>
                  <w14:schemeClr w14:val="tx1"/>
                </w14:solidFill>
              </w14:textFill>
            </w:rPr>
            <w:t>作业条件危险性评价法（LEC）</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_Toc13212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78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62C782E">
          <w:pPr>
            <w:pStyle w:val="34"/>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_Toc23168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第5章  定性、定量评价</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_Toc23168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81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5701019">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_Toc880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5.1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厂址及总平面布置评价单元</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_Toc880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81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0D1DB1F">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_Toc25082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5.1.1厂址及总平面布置安全检查表</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_Toc25082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81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954F005">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_Toc19514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5.1.2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lang w:val="en-US" w:eastAsia="zh-CN"/>
              <w14:textFill>
                <w14:solidFill>
                  <w14:schemeClr w14:val="tx1"/>
                </w14:solidFill>
              </w14:textFill>
            </w:rPr>
            <w:t>评价小结</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_Toc19514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86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9A1401F">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_Toc1554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5.2</w:t>
          </w:r>
          <w:r>
            <w:rPr>
              <w:rFonts w:hint="eastAsia" w:ascii="Times New Roman" w:hAnsi="Times New Roman" w:cs="Times New Roman"/>
              <w:b/>
              <w:bCs/>
              <w:color w:val="000000" w:themeColor="text1"/>
              <w:lang w:val="en-US" w:eastAsia="zh-CN"/>
              <w14:textFill>
                <w14:solidFill>
                  <w14:schemeClr w14:val="tx1"/>
                </w14:solidFill>
              </w14:textFill>
            </w:rPr>
            <w:t xml:space="preserve"> 生产</w:t>
          </w:r>
          <w:r>
            <w:rPr>
              <w:rFonts w:hint="default" w:ascii="Times New Roman" w:hAnsi="Times New Roman" w:eastAsia="楷体" w:cs="Times New Roman"/>
              <w:b/>
              <w:bCs/>
              <w:color w:val="000000" w:themeColor="text1"/>
              <w14:textFill>
                <w14:solidFill>
                  <w14:schemeClr w14:val="tx1"/>
                </w14:solidFill>
              </w14:textFill>
            </w:rPr>
            <w:t>工艺</w:t>
          </w:r>
          <w:r>
            <w:rPr>
              <w:rFonts w:hint="eastAsia" w:ascii="Times New Roman" w:hAnsi="Times New Roman" w:cs="Times New Roman"/>
              <w:b/>
              <w:bCs/>
              <w:color w:val="000000" w:themeColor="text1"/>
              <w:lang w:val="en-US" w:eastAsia="zh-CN"/>
              <w14:textFill>
                <w14:solidFill>
                  <w14:schemeClr w14:val="tx1"/>
                </w14:solidFill>
              </w14:textFill>
            </w:rPr>
            <w:t>及设备设施</w:t>
          </w:r>
          <w:r>
            <w:rPr>
              <w:rFonts w:hint="default" w:ascii="Times New Roman" w:hAnsi="Times New Roman" w:eastAsia="楷体" w:cs="Times New Roman"/>
              <w:b/>
              <w:bCs/>
              <w:color w:val="000000" w:themeColor="text1"/>
              <w14:textFill>
                <w14:solidFill>
                  <w14:schemeClr w14:val="tx1"/>
                </w14:solidFill>
              </w14:textFill>
            </w:rPr>
            <w:t>评价单元</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_Toc1554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87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15BD833">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_Toc4143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5.2.1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lang w:val="en-US" w:eastAsia="zh-CN"/>
              <w14:textFill>
                <w14:solidFill>
                  <w14:schemeClr w14:val="tx1"/>
                </w14:solidFill>
              </w14:textFill>
            </w:rPr>
            <w:t>安全检查表</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_Toc4143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87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A058C11">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_Toc9886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5.2.2作业条件危险性分析</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_Toc9886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B486FDF">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_Toc29165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5.2.3单元小结</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_Toc29165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DF839FA">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_Toc7513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5.3安全防护设施评价单元</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_Toc7513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9D8E538">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_Toc1911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5.3.1常规防护设施和措施安全检查表法</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_Toc1911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A937A7A">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_Toc7605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5.3.2防雷、防静电安全评价子单元安全检查表</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_Toc7605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8CD8D78">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_Toc1530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5.3.3单元评价小结</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_Toc1530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E60458D">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_Toc11675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5.</w:t>
          </w:r>
          <w:r>
            <w:rPr>
              <w:rFonts w:hint="eastAsia" w:ascii="Times New Roman" w:hAnsi="Times New Roman" w:cs="Times New Roman"/>
              <w:b/>
              <w:bCs/>
              <w:color w:val="000000" w:themeColor="text1"/>
              <w:lang w:val="en-US" w:eastAsia="zh-CN"/>
              <w14:textFill>
                <w14:solidFill>
                  <w14:schemeClr w14:val="tx1"/>
                </w14:solidFill>
              </w14:textFill>
            </w:rPr>
            <w:t>4</w:t>
          </w:r>
          <w:r>
            <w:rPr>
              <w:rFonts w:hint="default" w:ascii="Times New Roman" w:hAnsi="Times New Roman" w:eastAsia="楷体" w:cs="Times New Roman"/>
              <w:b/>
              <w:bCs/>
              <w:color w:val="000000" w:themeColor="text1"/>
              <w14:textFill>
                <w14:solidFill>
                  <w14:schemeClr w14:val="tx1"/>
                </w14:solidFill>
              </w14:textFill>
            </w:rPr>
            <w:t>公用工程及辅助设施评价单元</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_Toc11675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2B85CBD6">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_Toc18520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w:t>
          </w:r>
          <w:r>
            <w:rPr>
              <w:rFonts w:hint="eastAsia" w:ascii="Times New Roman" w:hAnsi="Times New Roman" w:cs="Times New Roman"/>
              <w:b/>
              <w:bCs/>
              <w:color w:val="000000" w:themeColor="text1"/>
              <w:lang w:val="en-US" w:eastAsia="zh-CN"/>
              <w14:textFill>
                <w14:solidFill>
                  <w14:schemeClr w14:val="tx1"/>
                </w14:solidFill>
              </w14:textFill>
            </w:rPr>
            <w:t>4</w:t>
          </w:r>
          <w:r>
            <w:rPr>
              <w:rFonts w:hint="default" w:ascii="Times New Roman" w:hAnsi="Times New Roman" w:eastAsia="黑体" w:cs="Times New Roman"/>
              <w:b/>
              <w:bCs/>
              <w:color w:val="000000" w:themeColor="text1"/>
              <w:lang w:val="en-US" w:eastAsia="zh-CN"/>
              <w14:textFill>
                <w14:solidFill>
                  <w14:schemeClr w14:val="tx1"/>
                </w14:solidFill>
              </w14:textFill>
            </w:rPr>
            <w:t>.1</w:t>
          </w:r>
          <w:r>
            <w:rPr>
              <w:rFonts w:hint="eastAsia" w:ascii="Times New Roman" w:hAnsi="Times New Roman" w:cs="Times New Roman"/>
              <w:b/>
              <w:bCs/>
              <w:color w:val="000000" w:themeColor="text1"/>
              <w:lang w:val="en-US" w:eastAsia="zh-CN"/>
              <w14:textFill>
                <w14:solidFill>
                  <w14:schemeClr w14:val="tx1"/>
                </w14:solidFill>
              </w14:textFill>
            </w:rPr>
            <w:t xml:space="preserve"> 供配电系统</w:t>
          </w:r>
          <w:r>
            <w:rPr>
              <w:rFonts w:hint="default" w:ascii="Times New Roman" w:hAnsi="Times New Roman" w:eastAsia="黑体" w:cs="Times New Roman"/>
              <w:b/>
              <w:bCs/>
              <w:color w:val="000000" w:themeColor="text1"/>
              <w:lang w:val="en-US" w:eastAsia="zh-CN"/>
              <w14:textFill>
                <w14:solidFill>
                  <w14:schemeClr w14:val="tx1"/>
                </w14:solidFill>
              </w14:textFill>
            </w:rPr>
            <w:t>安全检查表</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_Toc18520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C20BF15">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_Toc27249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w:t>
          </w:r>
          <w:r>
            <w:rPr>
              <w:rFonts w:hint="eastAsia" w:ascii="Times New Roman" w:hAnsi="Times New Roman" w:cs="Times New Roman"/>
              <w:b/>
              <w:bCs/>
              <w:color w:val="000000" w:themeColor="text1"/>
              <w:lang w:val="en-US" w:eastAsia="zh-CN"/>
              <w14:textFill>
                <w14:solidFill>
                  <w14:schemeClr w14:val="tx1"/>
                </w14:solidFill>
              </w14:textFill>
            </w:rPr>
            <w:t>4.</w:t>
          </w:r>
          <w:r>
            <w:rPr>
              <w:rFonts w:hint="default" w:ascii="Times New Roman" w:hAnsi="Times New Roman" w:eastAsia="黑体" w:cs="Times New Roman"/>
              <w:b/>
              <w:bCs/>
              <w:color w:val="000000" w:themeColor="text1"/>
              <w:lang w:val="en-US" w:eastAsia="zh-CN"/>
              <w14:textFill>
                <w14:solidFill>
                  <w14:schemeClr w14:val="tx1"/>
                </w14:solidFill>
              </w14:textFill>
            </w:rPr>
            <w:t>2</w:t>
          </w:r>
          <w:r>
            <w:rPr>
              <w:rFonts w:hint="eastAsia" w:ascii="Times New Roman" w:hAnsi="Times New Roman" w:eastAsia="黑体"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lang w:val="en-US" w:eastAsia="zh-CN"/>
              <w14:textFill>
                <w14:solidFill>
                  <w14:schemeClr w14:val="tx1"/>
                </w14:solidFill>
              </w14:textFill>
            </w:rPr>
            <w:t>给排水系统</w:t>
          </w:r>
          <w:r>
            <w:rPr>
              <w:rFonts w:hint="eastAsia" w:ascii="Times New Roman" w:hAnsi="Times New Roman" w:cs="Times New Roman"/>
              <w:b/>
              <w:bCs/>
              <w:color w:val="000000" w:themeColor="text1"/>
              <w:lang w:val="en-US" w:eastAsia="zh-CN"/>
              <w14:textFill>
                <w14:solidFill>
                  <w14:schemeClr w14:val="tx1"/>
                </w14:solidFill>
              </w14:textFill>
            </w:rPr>
            <w:t>安全检查表</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_Toc27249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14112B3">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_Toc30632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w:t>
          </w:r>
          <w:r>
            <w:rPr>
              <w:rFonts w:hint="eastAsia" w:ascii="Times New Roman" w:hAnsi="Times New Roman" w:cs="Times New Roman"/>
              <w:b/>
              <w:bCs/>
              <w:color w:val="000000" w:themeColor="text1"/>
              <w:lang w:val="en-US" w:eastAsia="zh-CN"/>
              <w14:textFill>
                <w14:solidFill>
                  <w14:schemeClr w14:val="tx1"/>
                </w14:solidFill>
              </w14:textFill>
            </w:rPr>
            <w:t>4</w:t>
          </w:r>
          <w:r>
            <w:rPr>
              <w:rFonts w:hint="default" w:ascii="Times New Roman" w:hAnsi="Times New Roman" w:eastAsia="黑体" w:cs="Times New Roman"/>
              <w:b/>
              <w:bCs/>
              <w:color w:val="000000" w:themeColor="text1"/>
              <w:lang w:val="en-US"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3</w:t>
          </w:r>
          <w:r>
            <w:rPr>
              <w:rFonts w:hint="eastAsia" w:ascii="Times New Roman" w:hAnsi="Times New Roman" w:eastAsia="黑体"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lang w:val="en-US" w:eastAsia="zh-CN"/>
              <w14:textFill>
                <w14:solidFill>
                  <w14:schemeClr w14:val="tx1"/>
                </w14:solidFill>
              </w14:textFill>
            </w:rPr>
            <w:t>消防</w:t>
          </w:r>
          <w:r>
            <w:rPr>
              <w:rFonts w:hint="eastAsia" w:ascii="Times New Roman" w:hAnsi="Times New Roman" w:eastAsia="黑体" w:cs="Times New Roman"/>
              <w:b/>
              <w:bCs/>
              <w:color w:val="000000" w:themeColor="text1"/>
              <w:lang w:val="en-US" w:eastAsia="zh-CN"/>
              <w14:textFill>
                <w14:solidFill>
                  <w14:schemeClr w14:val="tx1"/>
                </w14:solidFill>
              </w14:textFill>
            </w:rPr>
            <w:t>系统</w:t>
          </w:r>
          <w:r>
            <w:rPr>
              <w:rFonts w:hint="eastAsia" w:ascii="Times New Roman" w:hAnsi="Times New Roman" w:cs="Times New Roman"/>
              <w:b/>
              <w:bCs/>
              <w:color w:val="000000" w:themeColor="text1"/>
              <w:lang w:val="en-US" w:eastAsia="zh-CN"/>
              <w14:textFill>
                <w14:solidFill>
                  <w14:schemeClr w14:val="tx1"/>
                </w14:solidFill>
              </w14:textFill>
            </w:rPr>
            <w:t>安全检查表</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_Toc30632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4328A76">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_Toc22064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w:t>
          </w:r>
          <w:r>
            <w:rPr>
              <w:rFonts w:hint="eastAsia" w:ascii="Times New Roman" w:hAnsi="Times New Roman" w:cs="Times New Roman"/>
              <w:b/>
              <w:bCs/>
              <w:color w:val="000000" w:themeColor="text1"/>
              <w:lang w:val="en-US" w:eastAsia="zh-CN"/>
              <w14:textFill>
                <w14:solidFill>
                  <w14:schemeClr w14:val="tx1"/>
                </w14:solidFill>
              </w14:textFill>
            </w:rPr>
            <w:t>4</w:t>
          </w:r>
          <w:r>
            <w:rPr>
              <w:rFonts w:hint="default" w:ascii="Times New Roman" w:hAnsi="Times New Roman" w:eastAsia="黑体" w:cs="Times New Roman"/>
              <w:b/>
              <w:bCs/>
              <w:color w:val="000000" w:themeColor="text1"/>
              <w:lang w:val="en-US"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 xml:space="preserve">4 </w:t>
          </w:r>
          <w:r>
            <w:rPr>
              <w:rFonts w:hint="default" w:ascii="Times New Roman" w:hAnsi="Times New Roman" w:eastAsia="黑体" w:cs="Times New Roman"/>
              <w:b/>
              <w:bCs/>
              <w:color w:val="000000" w:themeColor="text1"/>
              <w:lang w:val="en-US" w:eastAsia="zh-CN"/>
              <w14:textFill>
                <w14:solidFill>
                  <w14:schemeClr w14:val="tx1"/>
                </w14:solidFill>
              </w14:textFill>
            </w:rPr>
            <w:t>单元小结</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_Toc22064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EEB8AE6">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_Toc17918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5.5</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安全生产管理评价单元</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_Toc17918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218EBDD9">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_Toc14999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5.5.1安全管理检查表</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_Toc14999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99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2E127E97">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_Toc7727 </w:instrText>
          </w:r>
          <w:r>
            <w:rPr>
              <w:b/>
              <w:bCs/>
              <w:color w:val="000000" w:themeColor="text1"/>
              <w14:textFill>
                <w14:solidFill>
                  <w14:schemeClr w14:val="tx1"/>
                </w14:solidFill>
              </w14:textFill>
            </w:rPr>
            <w:fldChar w:fldCharType="separate"/>
          </w:r>
          <w:r>
            <w:rPr>
              <w:rFonts w:hint="eastAsia" w:ascii="Times New Roman" w:hAnsi="Times New Roman" w:eastAsia="黑体" w:cs="Times New Roman"/>
              <w:b/>
              <w:bCs/>
              <w:color w:val="000000" w:themeColor="text1"/>
              <w:lang w:val="en-US" w:eastAsia="zh-CN"/>
              <w14:textFill>
                <w14:solidFill>
                  <w14:schemeClr w14:val="tx1"/>
                </w14:solidFill>
              </w14:textFill>
            </w:rPr>
            <w:t>5.5.2 应急救援预案</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_Toc7727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103</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19FD6D69">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_Toc18160 </w:instrText>
          </w:r>
          <w:r>
            <w:rPr>
              <w:b/>
              <w:bCs/>
              <w:color w:val="000000" w:themeColor="text1"/>
              <w14:textFill>
                <w14:solidFill>
                  <w14:schemeClr w14:val="tx1"/>
                </w14:solidFill>
              </w14:textFill>
            </w:rPr>
            <w:fldChar w:fldCharType="separate"/>
          </w:r>
          <w:r>
            <w:rPr>
              <w:rFonts w:hint="eastAsia" w:ascii="Times New Roman" w:hAnsi="Times New Roman" w:eastAsia="黑体" w:cs="Times New Roman"/>
              <w:b/>
              <w:bCs/>
              <w:color w:val="000000" w:themeColor="text1"/>
              <w:lang w:val="en-US" w:eastAsia="zh-CN"/>
              <w14:textFill>
                <w14:solidFill>
                  <w14:schemeClr w14:val="tx1"/>
                </w14:solidFill>
              </w14:textFill>
            </w:rPr>
            <w:t>5.5.3 单元小结</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_Toc18160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105</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30A42EA">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_Toc19199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5.6 重大事故隐患</w:t>
          </w:r>
          <w:r>
            <w:rPr>
              <w:rFonts w:hint="default" w:ascii="Times New Roman" w:hAnsi="Times New Roman" w:eastAsia="楷体" w:cs="Times New Roman"/>
              <w:b/>
              <w:bCs/>
              <w:color w:val="000000" w:themeColor="text1"/>
              <w:lang w:val="en-US" w:eastAsia="zh-CN"/>
              <w14:textFill>
                <w14:solidFill>
                  <w14:schemeClr w14:val="tx1"/>
                </w14:solidFill>
              </w14:textFill>
            </w:rPr>
            <w:t>评价</w:t>
          </w:r>
          <w:r>
            <w:rPr>
              <w:rFonts w:hint="default" w:ascii="Times New Roman" w:hAnsi="Times New Roman" w:eastAsia="楷体" w:cs="Times New Roman"/>
              <w:b/>
              <w:bCs/>
              <w:color w:val="000000" w:themeColor="text1"/>
              <w14:textFill>
                <w14:solidFill>
                  <w14:schemeClr w14:val="tx1"/>
                </w14:solidFill>
              </w14:textFill>
            </w:rPr>
            <w:t>单元</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_Toc19199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106</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EFCA90E">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_Toc6408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5.7</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有限空间作业评价单元</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_Toc6408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107</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D55C709">
          <w:pPr>
            <w:pStyle w:val="34"/>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_Toc24766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第6章  主要存在问题及安全对策措施建议</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_Toc24766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CA1B58A">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_Toc29403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6.1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主要存在问题</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_Toc29403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5E9848A">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_Toc17588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6.2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安全技术对策措施建议</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_Toc17588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110</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03C2E82D">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_Toc10955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6.3</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安全生产管理建议</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_Toc10955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E21CBB2">
          <w:pPr>
            <w:pStyle w:val="34"/>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_Toc18703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第7章  安全现状评价结论</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_Toc18703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227BD362">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_Toc4695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7.1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主要危险、有害因素评价结果</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_Toc4695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3834D9C">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_Toc18741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7.1.1</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lang w:val="en-US" w:eastAsia="zh-CN"/>
              <w14:textFill>
                <w14:solidFill>
                  <w14:schemeClr w14:val="tx1"/>
                </w14:solidFill>
              </w14:textFill>
            </w:rPr>
            <w:t>主要危险、有害因素</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_Toc18741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963E0FB">
          <w:pPr>
            <w:pStyle w:val="27"/>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_Toc12198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lang w:val="en-US" w:eastAsia="zh-CN"/>
              <w14:textFill>
                <w14:solidFill>
                  <w14:schemeClr w14:val="tx1"/>
                </w14:solidFill>
              </w14:textFill>
            </w:rPr>
            <w:t>7.1.2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lang w:val="en-US" w:eastAsia="zh-CN"/>
              <w14:textFill>
                <w14:solidFill>
                  <w14:schemeClr w14:val="tx1"/>
                </w14:solidFill>
              </w14:textFill>
            </w:rPr>
            <w:t>本项目存在的主要危险、有害因素及存在部位</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_Toc12198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118</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787FB770">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_Toc20900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7.2</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需要重点防范和控制的危险、有害因素</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_Toc20900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380C83CC">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_Toc18539 </w:instrText>
          </w:r>
          <w:r>
            <w:rPr>
              <w:b/>
              <w:bCs/>
              <w:color w:val="000000" w:themeColor="text1"/>
              <w14:textFill>
                <w14:solidFill>
                  <w14:schemeClr w14:val="tx1"/>
                </w14:solidFill>
              </w14:textFill>
            </w:rPr>
            <w:fldChar w:fldCharType="separate"/>
          </w:r>
          <w:r>
            <w:rPr>
              <w:rFonts w:hint="default" w:ascii="Times New Roman" w:hAnsi="Times New Roman" w:eastAsia="楷体" w:cs="Times New Roman"/>
              <w:b/>
              <w:bCs/>
              <w:color w:val="000000" w:themeColor="text1"/>
              <w14:textFill>
                <w14:solidFill>
                  <w14:schemeClr w14:val="tx1"/>
                </w14:solidFill>
              </w14:textFill>
            </w:rPr>
            <w:t>7.3</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eastAsia="楷体" w:cs="Times New Roman"/>
              <w:b/>
              <w:bCs/>
              <w:color w:val="000000" w:themeColor="text1"/>
              <w14:textFill>
                <w14:solidFill>
                  <w14:schemeClr w14:val="tx1"/>
                </w14:solidFill>
              </w14:textFill>
            </w:rPr>
            <w:t>安全评价结论</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_Toc18539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119</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74C7426">
          <w:pPr>
            <w:pStyle w:val="34"/>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_Toc30658 </w:instrText>
          </w:r>
          <w:r>
            <w:rPr>
              <w:b/>
              <w:bCs/>
              <w:color w:val="000000" w:themeColor="text1"/>
              <w14:textFill>
                <w14:solidFill>
                  <w14:schemeClr w14:val="tx1"/>
                </w14:solidFill>
              </w14:textFill>
            </w:rPr>
            <w:fldChar w:fldCharType="separate"/>
          </w:r>
          <w:r>
            <w:rPr>
              <w:rFonts w:hint="default" w:ascii="Times New Roman" w:hAnsi="Times New Roman" w:eastAsia="黑体" w:cs="Times New Roman"/>
              <w:b/>
              <w:bCs/>
              <w:color w:val="000000" w:themeColor="text1"/>
              <w14:textFill>
                <w14:solidFill>
                  <w14:schemeClr w14:val="tx1"/>
                </w14:solidFill>
              </w14:textFill>
            </w:rPr>
            <w:t>第8章  与企业交换的意见</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_Toc30658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121</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4651F5DD">
          <w:pPr>
            <w:pStyle w:val="42"/>
            <w:tabs>
              <w:tab w:val="right" w:leader="dot" w:pos="8504"/>
            </w:tabs>
            <w:rPr>
              <w:b/>
              <w:bCs/>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_Toc28907 </w:instrText>
          </w:r>
          <w:r>
            <w:rPr>
              <w:b/>
              <w:bCs/>
              <w:color w:val="000000" w:themeColor="text1"/>
              <w14:textFill>
                <w14:solidFill>
                  <w14:schemeClr w14:val="tx1"/>
                </w14:solidFill>
              </w14:textFill>
            </w:rPr>
            <w:fldChar w:fldCharType="separate"/>
          </w:r>
          <w:r>
            <w:rPr>
              <w:rFonts w:hint="eastAsia" w:ascii="宋体" w:hAnsi="宋体" w:eastAsia="宋体" w:cs="宋体"/>
              <w:b/>
              <w:bCs/>
              <w:color w:val="000000" w:themeColor="text1"/>
              <w:szCs w:val="28"/>
              <w14:textFill>
                <w14:solidFill>
                  <w14:schemeClr w14:val="tx1"/>
                </w14:solidFill>
              </w14:textFill>
            </w:rPr>
            <w:t>附件</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_Toc28907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122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5E8CBC5C">
          <w:pPr>
            <w:pStyle w:val="42"/>
            <w:tabs>
              <w:tab w:val="right" w:leader="dot" w:pos="8504"/>
            </w:tabs>
            <w:rPr>
              <w:color w:val="000000" w:themeColor="text1"/>
              <w14:textFill>
                <w14:solidFill>
                  <w14:schemeClr w14:val="tx1"/>
                </w14:solidFill>
              </w14:textFill>
            </w:rPr>
          </w:pP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HYPERLINK \l _Toc26961 </w:instrText>
          </w:r>
          <w:r>
            <w:rPr>
              <w:b/>
              <w:bCs/>
              <w:color w:val="000000" w:themeColor="text1"/>
              <w14:textFill>
                <w14:solidFill>
                  <w14:schemeClr w14:val="tx1"/>
                </w14:solidFill>
              </w14:textFill>
            </w:rPr>
            <w:fldChar w:fldCharType="separate"/>
          </w:r>
          <w:r>
            <w:rPr>
              <w:rFonts w:hint="eastAsia" w:ascii="宋体" w:hAnsi="宋体" w:eastAsia="宋体" w:cs="宋体"/>
              <w:b/>
              <w:bCs/>
              <w:color w:val="000000" w:themeColor="text1"/>
              <w:szCs w:val="28"/>
              <w14:textFill>
                <w14:solidFill>
                  <w14:schemeClr w14:val="tx1"/>
                </w14:solidFill>
              </w14:textFill>
            </w:rPr>
            <w:t>附图</w:t>
          </w:r>
          <w:r>
            <w:rPr>
              <w:b/>
              <w:bCs/>
              <w:color w:val="000000" w:themeColor="text1"/>
              <w14:textFill>
                <w14:solidFill>
                  <w14:schemeClr w14:val="tx1"/>
                </w14:solidFill>
              </w14:textFill>
            </w:rPr>
            <w:tab/>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PAGEREF _Toc26961 \h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122</w:t>
          </w:r>
          <w:r>
            <w:rPr>
              <w:b/>
              <w:bCs/>
              <w:color w:val="000000" w:themeColor="text1"/>
              <w14:textFill>
                <w14:solidFill>
                  <w14:schemeClr w14:val="tx1"/>
                </w14:solidFill>
              </w14:textFill>
            </w:rPr>
            <w:fldChar w:fldCharType="end"/>
          </w:r>
          <w:r>
            <w:rPr>
              <w:b/>
              <w:bCs/>
              <w:color w:val="000000" w:themeColor="text1"/>
              <w14:textFill>
                <w14:solidFill>
                  <w14:schemeClr w14:val="tx1"/>
                </w14:solidFill>
              </w14:textFill>
            </w:rPr>
            <w:fldChar w:fldCharType="end"/>
          </w:r>
        </w:p>
        <w:p w14:paraId="6650BDEA">
          <w:pPr>
            <w:rPr>
              <w:color w:val="000000" w:themeColor="text1"/>
              <w14:textFill>
                <w14:solidFill>
                  <w14:schemeClr w14:val="tx1"/>
                </w14:solidFill>
              </w14:textFill>
            </w:rPr>
          </w:pPr>
          <w:r>
            <w:rPr>
              <w:color w:val="000000" w:themeColor="text1"/>
              <w14:textFill>
                <w14:solidFill>
                  <w14:schemeClr w14:val="tx1"/>
                </w14:solidFill>
              </w14:textFill>
            </w:rPr>
            <w:fldChar w:fldCharType="end"/>
          </w:r>
        </w:p>
      </w:sdtContent>
    </w:sdt>
    <w:p w14:paraId="1D0E9EC2">
      <w:pPr>
        <w:pStyle w:val="3"/>
        <w:spacing w:before="165" w:after="165"/>
        <w:rPr>
          <w:rFonts w:ascii="Times New Roman" w:hAnsi="Times New Roman"/>
          <w:color w:val="000000" w:themeColor="text1"/>
          <w14:textFill>
            <w14:solidFill>
              <w14:schemeClr w14:val="tx1"/>
            </w14:solidFill>
          </w14:textFill>
        </w:rPr>
        <w:sectPr>
          <w:footerReference r:id="rId5" w:type="default"/>
          <w:pgSz w:w="11906" w:h="16838"/>
          <w:pgMar w:top="1587" w:right="1701" w:bottom="1701" w:left="1701" w:header="851" w:footer="992" w:gutter="0"/>
          <w:pgBorders>
            <w:top w:val="none" w:sz="0" w:space="0"/>
            <w:left w:val="none" w:sz="0" w:space="0"/>
            <w:bottom w:val="none" w:sz="0" w:space="0"/>
            <w:right w:val="none" w:sz="0" w:space="0"/>
          </w:pgBorders>
          <w:pgNumType w:fmt="upperRoman" w:start="1"/>
          <w:cols w:space="720" w:num="1"/>
          <w:docGrid w:type="lines" w:linePitch="330" w:charSpace="0"/>
        </w:sectPr>
      </w:pPr>
    </w:p>
    <w:p w14:paraId="7D317F15">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eastAsia" w:ascii="黑体" w:hAnsi="黑体" w:eastAsia="黑体" w:cs="黑体"/>
          <w:color w:val="000000" w:themeColor="text1"/>
          <w14:textFill>
            <w14:solidFill>
              <w14:schemeClr w14:val="tx1"/>
            </w14:solidFill>
          </w14:textFill>
        </w:rPr>
      </w:pPr>
      <w:bookmarkStart w:id="11" w:name="_Toc11335"/>
      <w:r>
        <w:rPr>
          <w:rFonts w:hint="eastAsia" w:ascii="黑体" w:hAnsi="黑体" w:eastAsia="黑体" w:cs="黑体"/>
          <w:color w:val="000000" w:themeColor="text1"/>
          <w14:textFill>
            <w14:solidFill>
              <w14:schemeClr w14:val="tx1"/>
            </w14:solidFill>
          </w14:textFill>
        </w:rPr>
        <w:t>第</w:t>
      </w:r>
      <w:r>
        <w:rPr>
          <w:rFonts w:hint="default" w:ascii="Times New Roman" w:hAnsi="Times New Roman" w:eastAsia="黑体" w:cs="Times New Roman"/>
          <w:color w:val="000000" w:themeColor="text1"/>
          <w14:textFill>
            <w14:solidFill>
              <w14:schemeClr w14:val="tx1"/>
            </w14:solidFill>
          </w14:textFill>
        </w:rPr>
        <w:t>1</w:t>
      </w:r>
      <w:r>
        <w:rPr>
          <w:rFonts w:hint="eastAsia" w:ascii="黑体" w:hAnsi="黑体" w:eastAsia="黑体" w:cs="黑体"/>
          <w:color w:val="000000" w:themeColor="text1"/>
          <w14:textFill>
            <w14:solidFill>
              <w14:schemeClr w14:val="tx1"/>
            </w14:solidFill>
          </w14:textFill>
        </w:rPr>
        <w:t>章  编制说明</w:t>
      </w:r>
      <w:bookmarkEnd w:id="11"/>
    </w:p>
    <w:p w14:paraId="4278DE0B">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楷体" w:hAnsi="楷体" w:eastAsia="楷体" w:cs="楷体"/>
          <w:color w:val="000000" w:themeColor="text1"/>
          <w14:textFill>
            <w14:solidFill>
              <w14:schemeClr w14:val="tx1"/>
            </w14:solidFill>
          </w14:textFill>
        </w:rPr>
      </w:pPr>
      <w:bookmarkStart w:id="12" w:name="_Toc20457"/>
      <w:bookmarkStart w:id="13" w:name="_Toc23051"/>
      <w:bookmarkStart w:id="14" w:name="_Toc335926124"/>
      <w:bookmarkStart w:id="15" w:name="_Toc313453419"/>
      <w:bookmarkStart w:id="16" w:name="_Toc768"/>
      <w:r>
        <w:rPr>
          <w:rFonts w:hint="default" w:ascii="Times New Roman" w:hAnsi="Times New Roman" w:eastAsia="楷体" w:cs="Times New Roman"/>
          <w:color w:val="000000" w:themeColor="text1"/>
          <w14:textFill>
            <w14:solidFill>
              <w14:schemeClr w14:val="tx1"/>
            </w14:solidFill>
          </w14:textFill>
        </w:rPr>
        <w:t>1.1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eastAsia" w:ascii="楷体" w:hAnsi="楷体" w:eastAsia="楷体" w:cs="楷体"/>
          <w:color w:val="000000" w:themeColor="text1"/>
          <w14:textFill>
            <w14:solidFill>
              <w14:schemeClr w14:val="tx1"/>
            </w14:solidFill>
          </w14:textFill>
        </w:rPr>
        <w:t>安全评价的目的</w:t>
      </w:r>
      <w:bookmarkEnd w:id="12"/>
      <w:bookmarkEnd w:id="13"/>
      <w:bookmarkEnd w:id="14"/>
      <w:bookmarkEnd w:id="15"/>
      <w:bookmarkEnd w:id="16"/>
    </w:p>
    <w:p w14:paraId="19FB6E7A">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hint="eastAsia" w:asciiTheme="minorEastAsia" w:hAnsiTheme="minorEastAsia" w:eastAsiaTheme="minorEastAsia" w:cstheme="minorEastAsia"/>
          <w:snapToGrid w:val="0"/>
          <w:color w:val="000000" w:themeColor="text1"/>
          <w:sz w:val="28"/>
          <w14:textFill>
            <w14:solidFill>
              <w14:schemeClr w14:val="tx1"/>
            </w14:solidFill>
          </w14:textFill>
        </w:rPr>
      </w:pPr>
      <w:bookmarkStart w:id="17" w:name="_Toc23496"/>
      <w:bookmarkStart w:id="18" w:name="_Toc121910185"/>
      <w:r>
        <w:rPr>
          <w:rFonts w:hint="eastAsia" w:asciiTheme="minorEastAsia" w:hAnsiTheme="minorEastAsia" w:eastAsiaTheme="minorEastAsia" w:cstheme="minorEastAsia"/>
          <w:snapToGrid w:val="0"/>
          <w:color w:val="000000" w:themeColor="text1"/>
          <w:sz w:val="28"/>
          <w14:textFill>
            <w14:solidFill>
              <w14:schemeClr w14:val="tx1"/>
            </w14:solidFill>
          </w14:textFill>
        </w:rPr>
        <w:t>为监管部门提供检查依据；</w:t>
      </w:r>
      <w:bookmarkEnd w:id="17"/>
    </w:p>
    <w:p w14:paraId="346DCA11">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asciiTheme="minorEastAsia" w:hAnsiTheme="minorEastAsia" w:eastAsiaTheme="minorEastAsia" w:cstheme="minorEastAsia"/>
          <w:snapToGrid w:val="0"/>
          <w:color w:val="000000" w:themeColor="text1"/>
          <w:sz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14:textFill>
            <w14:solidFill>
              <w14:schemeClr w14:val="tx1"/>
            </w14:solidFill>
          </w14:textFill>
        </w:rPr>
        <w:t>企业通过评价确认在用的设备或设施的安全状态，确认该状态是否可以接受；</w:t>
      </w:r>
    </w:p>
    <w:p w14:paraId="392C74B2">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asciiTheme="minorEastAsia" w:hAnsiTheme="minorEastAsia" w:eastAsiaTheme="minorEastAsia" w:cstheme="minorEastAsia"/>
          <w:snapToGrid w:val="0"/>
          <w:color w:val="000000" w:themeColor="text1"/>
          <w:sz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14:textFill>
            <w14:solidFill>
              <w14:schemeClr w14:val="tx1"/>
            </w14:solidFill>
          </w14:textFill>
        </w:rPr>
        <w:t>通过安全评价，促进企业的安全管理，发现和整改事故隐患，提高企业生产经营的本质安全</w:t>
      </w:r>
      <w:r>
        <w:rPr>
          <w:rFonts w:hint="eastAsia" w:asciiTheme="minorEastAsia" w:hAnsiTheme="minorEastAsia" w:eastAsiaTheme="minorEastAsia" w:cstheme="minorEastAsia"/>
          <w:snapToGrid w:val="0"/>
          <w:color w:val="000000" w:themeColor="text1"/>
          <w:sz w:val="28"/>
          <w:lang w:eastAsia="zh-CN"/>
          <w14:textFill>
            <w14:solidFill>
              <w14:schemeClr w14:val="tx1"/>
            </w14:solidFill>
          </w14:textFill>
        </w:rPr>
        <w:t>程</w:t>
      </w:r>
      <w:r>
        <w:rPr>
          <w:rFonts w:hint="eastAsia" w:asciiTheme="minorEastAsia" w:hAnsiTheme="minorEastAsia" w:eastAsiaTheme="minorEastAsia" w:cstheme="minorEastAsia"/>
          <w:snapToGrid w:val="0"/>
          <w:color w:val="000000" w:themeColor="text1"/>
          <w:sz w:val="28"/>
          <w14:textFill>
            <w14:solidFill>
              <w14:schemeClr w14:val="tx1"/>
            </w14:solidFill>
          </w14:textFill>
        </w:rPr>
        <w:t>度；</w:t>
      </w:r>
    </w:p>
    <w:p w14:paraId="4477BC71">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asciiTheme="minorEastAsia" w:hAnsiTheme="minorEastAsia" w:eastAsiaTheme="minorEastAsia" w:cstheme="minorEastAsia"/>
          <w:snapToGrid w:val="0"/>
          <w:color w:val="000000" w:themeColor="text1"/>
          <w:sz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14:textFill>
            <w14:solidFill>
              <w14:schemeClr w14:val="tx1"/>
            </w14:solidFill>
          </w14:textFill>
        </w:rPr>
        <w:t>通过对该公司生产过程中的危险、有害因素辨识，</w:t>
      </w:r>
      <w:r>
        <w:rPr>
          <w:rFonts w:hint="eastAsia" w:asciiTheme="minorEastAsia" w:hAnsiTheme="minorEastAsia" w:eastAsiaTheme="minorEastAsia" w:cstheme="minorEastAsia"/>
          <w:color w:val="000000" w:themeColor="text1"/>
          <w:sz w:val="28"/>
          <w:szCs w:val="28"/>
          <w14:textFill>
            <w14:solidFill>
              <w14:schemeClr w14:val="tx1"/>
            </w14:solidFill>
          </w14:textFill>
        </w:rPr>
        <w:t>分析出可能存在的主要危险、有害因素及其产生危险、危害后果的主要条件；</w:t>
      </w:r>
      <w:r>
        <w:rPr>
          <w:rFonts w:hint="eastAsia" w:asciiTheme="minorEastAsia" w:hAnsiTheme="minorEastAsia" w:eastAsiaTheme="minorEastAsia" w:cstheme="minorEastAsia"/>
          <w:snapToGrid w:val="0"/>
          <w:color w:val="000000" w:themeColor="text1"/>
          <w:sz w:val="28"/>
          <w14:textFill>
            <w14:solidFill>
              <w14:schemeClr w14:val="tx1"/>
            </w14:solidFill>
          </w14:textFill>
        </w:rPr>
        <w:t>预测发生事故的可能性及其严重程度，并提出科学、合理、可行的安全对策措施建议；</w:t>
      </w:r>
    </w:p>
    <w:p w14:paraId="1978FE86">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asciiTheme="minorEastAsia" w:hAnsiTheme="minorEastAsia" w:eastAsiaTheme="minorEastAsia" w:cstheme="minorEastAsia"/>
          <w:snapToGrid w:val="0"/>
          <w:color w:val="000000" w:themeColor="text1"/>
          <w:sz w:val="28"/>
          <w14:textFill>
            <w14:solidFill>
              <w14:schemeClr w14:val="tx1"/>
            </w14:solidFill>
          </w14:textFill>
        </w:rPr>
      </w:pPr>
      <w:r>
        <w:rPr>
          <w:rFonts w:hint="eastAsia" w:asciiTheme="minorEastAsia" w:hAnsiTheme="minorEastAsia" w:eastAsiaTheme="minorEastAsia" w:cstheme="minorEastAsia"/>
          <w:snapToGrid w:val="0"/>
          <w:color w:val="000000" w:themeColor="text1"/>
          <w:sz w:val="28"/>
          <w14:textFill>
            <w14:solidFill>
              <w14:schemeClr w14:val="tx1"/>
            </w14:solidFill>
          </w14:textFill>
        </w:rPr>
        <w:t>通过安全评价，该企业可进一步全面了解和掌握企业安全生产条件和安全管理状况，并通过完善安全措施，提高企业本质安全程度，预防事故发生，保障人员的生命安全及企业的财产安全；</w:t>
      </w:r>
    </w:p>
    <w:p w14:paraId="71D00BEC">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asciiTheme="minorEastAsia" w:hAnsiTheme="minorEastAsia" w:eastAsiaTheme="minorEastAsia" w:cstheme="minorEastAsia"/>
          <w:color w:val="000000" w:themeColor="text1"/>
          <w:sz w:val="28"/>
          <w14:textFill>
            <w14:solidFill>
              <w14:schemeClr w14:val="tx1"/>
            </w14:solidFill>
          </w14:textFill>
        </w:rPr>
      </w:pPr>
      <w:r>
        <w:rPr>
          <w:rFonts w:hint="eastAsia" w:asciiTheme="minorEastAsia" w:hAnsiTheme="minorEastAsia" w:eastAsiaTheme="minorEastAsia" w:cstheme="minorEastAsia"/>
          <w:color w:val="000000" w:themeColor="text1"/>
          <w:sz w:val="28"/>
          <w14:textFill>
            <w14:solidFill>
              <w14:schemeClr w14:val="tx1"/>
            </w14:solidFill>
          </w14:textFill>
        </w:rPr>
        <w:t>为该企业生产运行以及日常管理提供依据，</w:t>
      </w:r>
      <w:r>
        <w:rPr>
          <w:rFonts w:hint="eastAsia" w:asciiTheme="minorEastAsia" w:hAnsiTheme="minorEastAsia" w:eastAsiaTheme="minorEastAsia" w:cstheme="minorEastAsia"/>
          <w:snapToGrid w:val="0"/>
          <w:color w:val="000000" w:themeColor="text1"/>
          <w:sz w:val="28"/>
          <w:szCs w:val="28"/>
          <w14:textFill>
            <w14:solidFill>
              <w14:schemeClr w14:val="tx1"/>
            </w14:solidFill>
          </w14:textFill>
        </w:rPr>
        <w:t>为实现企业安全技术、安全管理的标准化和科学化创造条件，</w:t>
      </w:r>
      <w:r>
        <w:rPr>
          <w:rFonts w:hint="eastAsia" w:asciiTheme="minorEastAsia" w:hAnsiTheme="minorEastAsia" w:eastAsiaTheme="minorEastAsia" w:cstheme="minorEastAsia"/>
          <w:color w:val="000000" w:themeColor="text1"/>
          <w:sz w:val="28"/>
          <w14:textFill>
            <w14:solidFill>
              <w14:schemeClr w14:val="tx1"/>
            </w14:solidFill>
          </w14:textFill>
        </w:rPr>
        <w:t>并为各级应急管理部门和行业主管部门实行安全监察、监督提供依据。</w:t>
      </w:r>
      <w:bookmarkEnd w:id="18"/>
    </w:p>
    <w:p w14:paraId="14F18240">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楷体" w:hAnsi="楷体" w:eastAsia="楷体" w:cs="楷体"/>
          <w:color w:val="000000" w:themeColor="text1"/>
          <w14:textFill>
            <w14:solidFill>
              <w14:schemeClr w14:val="tx1"/>
            </w14:solidFill>
          </w14:textFill>
        </w:rPr>
      </w:pPr>
      <w:bookmarkStart w:id="19" w:name="_Toc16599"/>
      <w:bookmarkStart w:id="20" w:name="_Toc22448"/>
      <w:bookmarkStart w:id="21" w:name="_Toc335926125"/>
      <w:bookmarkStart w:id="22" w:name="_Toc313453420"/>
      <w:bookmarkStart w:id="23" w:name="_Toc25656"/>
      <w:r>
        <w:rPr>
          <w:rFonts w:hint="default" w:ascii="Times New Roman" w:hAnsi="Times New Roman" w:eastAsia="楷体" w:cs="Times New Roman"/>
          <w:color w:val="000000" w:themeColor="text1"/>
          <w14:textFill>
            <w14:solidFill>
              <w14:schemeClr w14:val="tx1"/>
            </w14:solidFill>
          </w14:textFill>
        </w:rPr>
        <w:t>1.2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eastAsia" w:ascii="楷体" w:hAnsi="楷体" w:eastAsia="楷体" w:cs="楷体"/>
          <w:color w:val="000000" w:themeColor="text1"/>
          <w14:textFill>
            <w14:solidFill>
              <w14:schemeClr w14:val="tx1"/>
            </w14:solidFill>
          </w14:textFill>
        </w:rPr>
        <w:t>安全评价依据</w:t>
      </w:r>
      <w:bookmarkEnd w:id="19"/>
      <w:bookmarkEnd w:id="20"/>
      <w:bookmarkEnd w:id="21"/>
      <w:bookmarkEnd w:id="22"/>
      <w:bookmarkEnd w:id="23"/>
    </w:p>
    <w:p w14:paraId="050F5239">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黑体" w:hAnsi="黑体" w:eastAsia="黑体" w:cs="黑体"/>
          <w:color w:val="000000" w:themeColor="text1"/>
          <w14:textFill>
            <w14:solidFill>
              <w14:schemeClr w14:val="tx1"/>
            </w14:solidFill>
          </w14:textFill>
        </w:rPr>
      </w:pPr>
      <w:bookmarkStart w:id="24" w:name="_Toc25627"/>
      <w:bookmarkStart w:id="25" w:name="_Toc313453421"/>
      <w:bookmarkStart w:id="26" w:name="_Toc20860"/>
      <w:bookmarkStart w:id="27" w:name="_Toc30136"/>
      <w:bookmarkStart w:id="28" w:name="_Toc335926126"/>
      <w:r>
        <w:rPr>
          <w:rFonts w:hint="default" w:ascii="Times New Roman" w:hAnsi="Times New Roman" w:eastAsia="黑体" w:cs="Times New Roman"/>
          <w:color w:val="000000" w:themeColor="text1"/>
          <w14:textFill>
            <w14:solidFill>
              <w14:schemeClr w14:val="tx1"/>
            </w14:solidFill>
          </w14:textFill>
        </w:rPr>
        <w:t>1</w:t>
      </w:r>
      <w:r>
        <w:rPr>
          <w:rFonts w:hint="default" w:ascii="Times New Roman" w:hAnsi="Times New Roman" w:eastAsia="黑体" w:cs="Times New Roman"/>
          <w:color w:val="000000" w:themeColor="text1"/>
          <w:szCs w:val="36"/>
          <w14:textFill>
            <w14:solidFill>
              <w14:schemeClr w14:val="tx1"/>
            </w14:solidFill>
          </w14:textFill>
        </w:rPr>
        <w:t>.</w:t>
      </w:r>
      <w:r>
        <w:rPr>
          <w:rFonts w:hint="default" w:ascii="Times New Roman" w:hAnsi="Times New Roman" w:eastAsia="黑体" w:cs="Times New Roman"/>
          <w:color w:val="000000" w:themeColor="text1"/>
          <w14:textFill>
            <w14:solidFill>
              <w14:schemeClr w14:val="tx1"/>
            </w14:solidFill>
          </w14:textFill>
        </w:rPr>
        <w:t>2</w:t>
      </w:r>
      <w:r>
        <w:rPr>
          <w:rFonts w:hint="default" w:ascii="Times New Roman" w:hAnsi="Times New Roman" w:eastAsia="黑体" w:cs="Times New Roman"/>
          <w:color w:val="000000" w:themeColor="text1"/>
          <w:szCs w:val="36"/>
          <w14:textFill>
            <w14:solidFill>
              <w14:schemeClr w14:val="tx1"/>
            </w14:solidFill>
          </w14:textFill>
        </w:rPr>
        <w:t>.</w:t>
      </w:r>
      <w:r>
        <w:rPr>
          <w:rFonts w:hint="default" w:ascii="Times New Roman" w:hAnsi="Times New Roman" w:eastAsia="黑体"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eastAsia" w:ascii="黑体" w:hAnsi="黑体" w:eastAsia="黑体" w:cs="黑体"/>
          <w:color w:val="000000" w:themeColor="text1"/>
          <w14:textFill>
            <w14:solidFill>
              <w14:schemeClr w14:val="tx1"/>
            </w14:solidFill>
          </w14:textFill>
        </w:rPr>
        <w:t>法律法规</w:t>
      </w:r>
      <w:bookmarkEnd w:id="24"/>
      <w:bookmarkEnd w:id="25"/>
      <w:bookmarkEnd w:id="26"/>
      <w:bookmarkEnd w:id="27"/>
      <w:bookmarkEnd w:id="28"/>
    </w:p>
    <w:p w14:paraId="5D60C2D8">
      <w:pPr>
        <w:pStyle w:val="318"/>
        <w:keepNext w:val="0"/>
        <w:keepLines w:val="0"/>
        <w:pageBreakBefore w:val="0"/>
        <w:widowControl w:val="0"/>
        <w:kinsoku/>
        <w:wordWrap/>
        <w:overflowPunct/>
        <w:topLinePunct w:val="0"/>
        <w:autoSpaceDE/>
        <w:autoSpaceDN/>
        <w:bidi w:val="0"/>
        <w:adjustRightInd/>
        <w:snapToGrid/>
        <w:spacing w:line="520" w:lineRule="exact"/>
        <w:ind w:left="0" w:firstLine="56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1.《中华人民共和国安全生产法》（中华人员共和国主席令第88号，全国人民代表大会常务委员会关于修改</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中华人民共和国安全生产法</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的决定，已由中华人民共和国第十三届全国人民代表大会常务委员会第二十九次会议于2021年6月10日通过，现予公布，自2021年9月1日起施行）；</w:t>
      </w:r>
    </w:p>
    <w:p w14:paraId="1657908D">
      <w:pPr>
        <w:pStyle w:val="318"/>
        <w:keepNext w:val="0"/>
        <w:keepLines w:val="0"/>
        <w:pageBreakBefore w:val="0"/>
        <w:widowControl w:val="0"/>
        <w:kinsoku/>
        <w:wordWrap/>
        <w:overflowPunct/>
        <w:topLinePunct w:val="0"/>
        <w:autoSpaceDE/>
        <w:autoSpaceDN/>
        <w:bidi w:val="0"/>
        <w:adjustRightInd/>
        <w:snapToGrid/>
        <w:spacing w:line="520" w:lineRule="exact"/>
        <w:ind w:left="0" w:firstLine="56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2.《中华人民共和国劳动法》（中华人民共和国主席令第28号，2018年12月29日第二次修改）；</w:t>
      </w:r>
    </w:p>
    <w:p w14:paraId="6A1E9E9F">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3.《中华人民共和国环境保护法》（中华人民共和国主席令第9号，自2015年1月1日起施行）；</w:t>
      </w:r>
    </w:p>
    <w:p w14:paraId="2D9427E2">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4.《中华人民共和国职业病防治法》（中华人民共和国主席令第24号，2018年12月29日第三次修正）</w:t>
      </w:r>
      <w:r>
        <w:rPr>
          <w:rFonts w:hint="eastAsia" w:ascii="Times New Roman" w:cs="Times New Roman"/>
          <w:color w:val="000000" w:themeColor="text1"/>
          <w:sz w:val="28"/>
          <w:szCs w:val="28"/>
          <w:lang w:eastAsia="zh-CN"/>
          <w14:textFill>
            <w14:solidFill>
              <w14:schemeClr w14:val="tx1"/>
            </w14:solidFill>
          </w14:textFill>
        </w:rPr>
        <w:t>；</w:t>
      </w:r>
    </w:p>
    <w:p w14:paraId="3CFCE9A2">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5.《中华人民共和国突发事件应对法》（国家主席令第69号，自2007年11月1日起施行）；</w:t>
      </w:r>
    </w:p>
    <w:p w14:paraId="14FBC522">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6.《中华人民共和国消防法》（国家主席令</w:t>
      </w:r>
      <w:r>
        <w:rPr>
          <w:rFonts w:hint="default" w:ascii="Times New Roman" w:hAnsi="Times New Roman" w:cs="Times New Roman"/>
          <w:color w:val="000000" w:themeColor="text1"/>
          <w:sz w:val="28"/>
          <w:szCs w:val="28"/>
          <w:lang w:val="en-US" w:eastAsia="zh-CN"/>
          <w14:textFill>
            <w14:solidFill>
              <w14:schemeClr w14:val="tx1"/>
            </w14:solidFill>
          </w14:textFill>
        </w:rPr>
        <w:t>81</w:t>
      </w:r>
      <w:r>
        <w:rPr>
          <w:rFonts w:hint="default" w:ascii="Times New Roman" w:hAnsi="Times New Roman" w:cs="Times New Roman"/>
          <w:color w:val="000000" w:themeColor="text1"/>
          <w:sz w:val="28"/>
          <w:szCs w:val="28"/>
          <w14:textFill>
            <w14:solidFill>
              <w14:schemeClr w14:val="tx1"/>
            </w14:solidFill>
          </w14:textFill>
        </w:rPr>
        <w:t>号，自2021年4月2</w:t>
      </w:r>
      <w:r>
        <w:rPr>
          <w:rFonts w:hint="default" w:ascii="Times New Roman" w:hAnsi="Times New Roman" w:cs="Times New Roman"/>
          <w:color w:val="000000" w:themeColor="text1"/>
          <w:sz w:val="28"/>
          <w:szCs w:val="28"/>
          <w:lang w:val="en-US" w:eastAsia="zh-CN"/>
          <w14:textFill>
            <w14:solidFill>
              <w14:schemeClr w14:val="tx1"/>
            </w14:solidFill>
          </w14:textFill>
        </w:rPr>
        <w:t>9</w:t>
      </w:r>
      <w:r>
        <w:rPr>
          <w:rFonts w:hint="default" w:ascii="Times New Roman" w:hAnsi="Times New Roman" w:cs="Times New Roman"/>
          <w:color w:val="000000" w:themeColor="text1"/>
          <w:sz w:val="28"/>
          <w:szCs w:val="28"/>
          <w14:textFill>
            <w14:solidFill>
              <w14:schemeClr w14:val="tx1"/>
            </w14:solidFill>
          </w14:textFill>
        </w:rPr>
        <w:t>日起施行）</w:t>
      </w:r>
      <w:r>
        <w:rPr>
          <w:rFonts w:hint="eastAsia" w:ascii="Times New Roman" w:cs="Times New Roman"/>
          <w:color w:val="000000" w:themeColor="text1"/>
          <w:sz w:val="28"/>
          <w:szCs w:val="28"/>
          <w:lang w:eastAsia="zh-CN"/>
          <w14:textFill>
            <w14:solidFill>
              <w14:schemeClr w14:val="tx1"/>
            </w14:solidFill>
          </w14:textFill>
        </w:rPr>
        <w:t>；</w:t>
      </w:r>
    </w:p>
    <w:p w14:paraId="15B36B43">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cs="Times New Roman"/>
          <w:color w:val="000000" w:themeColor="text1"/>
          <w:sz w:val="28"/>
          <w:szCs w:val="28"/>
          <w:lang w:val="en-US" w:eastAsia="zh-CN"/>
          <w14:textFill>
            <w14:solidFill>
              <w14:schemeClr w14:val="tx1"/>
            </w14:solidFill>
          </w14:textFill>
        </w:rPr>
        <w:t>7.</w:t>
      </w:r>
      <w:r>
        <w:rPr>
          <w:rFonts w:hint="default" w:ascii="Times New Roman" w:hAnsi="Times New Roman" w:cs="Times New Roman"/>
          <w:color w:val="000000" w:themeColor="text1"/>
          <w:sz w:val="28"/>
          <w:szCs w:val="28"/>
          <w14:textFill>
            <w14:solidFill>
              <w14:schemeClr w14:val="tx1"/>
            </w14:solidFill>
          </w14:textFill>
        </w:rPr>
        <w:t>《中华人民共和国特种设备安全法》（中华人民共和国主席令第</w:t>
      </w:r>
      <w:r>
        <w:rPr>
          <w:rFonts w:hint="eastAsia" w:asci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号</w:t>
      </w:r>
      <w:r>
        <w:rPr>
          <w:rFonts w:hint="eastAsia" w:ascii="Times New Roman" w:cs="Times New Roman"/>
          <w:color w:val="000000" w:themeColor="text1"/>
          <w:sz w:val="28"/>
          <w:szCs w:val="28"/>
          <w:lang w:eastAsia="zh-CN"/>
          <w14:textFill>
            <w14:solidFill>
              <w14:schemeClr w14:val="tx1"/>
            </w14:solidFill>
          </w14:textFill>
        </w:rPr>
        <w:t>，自2014年1月1日起施行</w:t>
      </w:r>
      <w:r>
        <w:rPr>
          <w:rFonts w:hint="default" w:ascii="Times New Roman" w:hAnsi="Times New Roman" w:cs="Times New Roman"/>
          <w:color w:val="000000" w:themeColor="text1"/>
          <w:sz w:val="28"/>
          <w:szCs w:val="28"/>
          <w14:textFill>
            <w14:solidFill>
              <w14:schemeClr w14:val="tx1"/>
            </w14:solidFill>
          </w14:textFill>
        </w:rPr>
        <w:t>）。</w:t>
      </w:r>
    </w:p>
    <w:p w14:paraId="08EF2A8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黑体" w:hAnsi="黑体" w:eastAsia="黑体" w:cs="黑体"/>
          <w:color w:val="000000" w:themeColor="text1"/>
          <w14:textFill>
            <w14:solidFill>
              <w14:schemeClr w14:val="tx1"/>
            </w14:solidFill>
          </w14:textFill>
        </w:rPr>
      </w:pPr>
      <w:bookmarkStart w:id="29" w:name="_Toc313453422"/>
      <w:bookmarkStart w:id="30" w:name="_Toc12752"/>
      <w:bookmarkStart w:id="31" w:name="_Toc335926127"/>
      <w:bookmarkStart w:id="32" w:name="_Toc24894"/>
      <w:bookmarkStart w:id="33" w:name="_Toc13385"/>
      <w:r>
        <w:rPr>
          <w:rFonts w:hint="default" w:ascii="Times New Roman" w:hAnsi="Times New Roman" w:eastAsia="黑体" w:cs="Times New Roman"/>
          <w:color w:val="000000" w:themeColor="text1"/>
          <w14:textFill>
            <w14:solidFill>
              <w14:schemeClr w14:val="tx1"/>
            </w14:solidFill>
          </w14:textFill>
        </w:rPr>
        <w:t>1.2.2</w:t>
      </w:r>
      <w:bookmarkEnd w:id="29"/>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eastAsia" w:ascii="黑体" w:hAnsi="黑体" w:eastAsia="黑体" w:cs="黑体"/>
          <w:color w:val="000000" w:themeColor="text1"/>
          <w14:textFill>
            <w14:solidFill>
              <w14:schemeClr w14:val="tx1"/>
            </w14:solidFill>
          </w14:textFill>
        </w:rPr>
        <w:t>行政法规</w:t>
      </w:r>
      <w:bookmarkEnd w:id="30"/>
      <w:bookmarkEnd w:id="31"/>
      <w:bookmarkEnd w:id="32"/>
      <w:bookmarkEnd w:id="33"/>
    </w:p>
    <w:p w14:paraId="49716A07">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1．《国务院关于进一步加强企业安全生产工作的通知》（国发〔2010〕23号）；</w:t>
      </w:r>
    </w:p>
    <w:p w14:paraId="44FC92CD">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2．《工伤保险条例》（中华人民共和国国务院令第586号修订，自2011年1月1日起施行）；</w:t>
      </w:r>
    </w:p>
    <w:p w14:paraId="0901C62E">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3．《特种设备安全监察条例》（国务院令第549号，2009年5月1日施行）；</w:t>
      </w:r>
    </w:p>
    <w:p w14:paraId="37315180">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8"/>
          <w:szCs w:val="28"/>
          <w14:textFill>
            <w14:solidFill>
              <w14:schemeClr w14:val="tx1"/>
            </w14:solidFill>
          </w14:textFill>
        </w:rPr>
        <w:t>．《生产安全事故报告和调查处理条例》（国务院令第493号</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w:t>
      </w:r>
      <w:r>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t>2007年6月1日起施行</w:t>
      </w:r>
      <w:r>
        <w:rPr>
          <w:rFonts w:hint="default" w:ascii="Times New Roman" w:hAnsi="Times New Roman" w:cs="Times New Roman" w:eastAsiaTheme="minorEastAsia"/>
          <w:color w:val="000000" w:themeColor="text1"/>
          <w:sz w:val="28"/>
          <w:szCs w:val="28"/>
          <w14:textFill>
            <w14:solidFill>
              <w14:schemeClr w14:val="tx1"/>
            </w14:solidFill>
          </w14:textFill>
        </w:rPr>
        <w:t>）；</w:t>
      </w:r>
    </w:p>
    <w:p w14:paraId="0912FB7B">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pPr>
      <w:r>
        <w:rPr>
          <w:rFonts w:hint="eastAsia" w:ascii="Times New Roman" w:hAnsi="Times New Roman" w:cs="Times New Roman" w:eastAsiaTheme="minorEastAsia"/>
          <w:color w:val="000000" w:themeColor="text1"/>
          <w:sz w:val="28"/>
          <w:szCs w:val="28"/>
          <w:lang w:val="en-US" w:eastAsia="zh-CN"/>
          <w14:textFill>
            <w14:solidFill>
              <w14:schemeClr w14:val="tx1"/>
            </w14:solidFill>
          </w14:textFill>
        </w:rPr>
        <w:t>5.《危险化学品安全管理条例》(2002年1月26日中华人民共和国国务院令第344号公布　2013年12月7日修订)</w:t>
      </w:r>
      <w:r>
        <w:rPr>
          <w:rFonts w:hint="eastAsia" w:ascii="Times New Roman" w:cs="Times New Roman" w:eastAsiaTheme="minorEastAsia"/>
          <w:color w:val="000000" w:themeColor="text1"/>
          <w:sz w:val="28"/>
          <w:szCs w:val="28"/>
          <w:lang w:val="en-US" w:eastAsia="zh-CN"/>
          <w14:textFill>
            <w14:solidFill>
              <w14:schemeClr w14:val="tx1"/>
            </w14:solidFill>
          </w14:textFill>
        </w:rPr>
        <w:t>；</w:t>
      </w:r>
    </w:p>
    <w:p w14:paraId="3BC44EC7">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6.《生产安全事故应急条例》（国务院令第708号，2019年4月1日起实施）。</w:t>
      </w:r>
    </w:p>
    <w:p w14:paraId="1F7A5AEA">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34" w:name="_Toc353"/>
      <w:bookmarkStart w:id="35" w:name="_Toc19541"/>
      <w:bookmarkStart w:id="36" w:name="_Toc27058"/>
      <w:r>
        <w:rPr>
          <w:rFonts w:hint="default" w:ascii="Times New Roman" w:hAnsi="Times New Roman" w:eastAsia="黑体" w:cs="Times New Roman"/>
          <w:color w:val="000000" w:themeColor="text1"/>
          <w14:textFill>
            <w14:solidFill>
              <w14:schemeClr w14:val="tx1"/>
            </w14:solidFill>
          </w14:textFill>
        </w:rPr>
        <w:t>1.2.3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部门规章</w:t>
      </w:r>
      <w:bookmarkEnd w:id="34"/>
      <w:bookmarkEnd w:id="35"/>
      <w:bookmarkEnd w:id="36"/>
    </w:p>
    <w:p w14:paraId="60DBAD45">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工贸企业重大事故隐患判定标准</w:t>
      </w:r>
      <w:r>
        <w:rPr>
          <w:rFonts w:hint="eastAsia" w:ascii="Times New Roman" w:cs="Times New Roman"/>
          <w:color w:val="000000" w:themeColor="text1"/>
          <w:sz w:val="28"/>
          <w:szCs w:val="28"/>
          <w:lang w:eastAsia="zh-CN"/>
          <w14:textFill>
            <w14:solidFill>
              <w14:schemeClr w14:val="tx1"/>
            </w14:solidFill>
          </w14:textFill>
        </w:rPr>
        <w:t>》（应急管理部令第10号公布，自2023年5月15日起施行）；</w:t>
      </w:r>
    </w:p>
    <w:p w14:paraId="0FC09038">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《危险化学品目录（2015版）》</w:t>
      </w: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国家安全生产监督管理总局2015年第5号</w:t>
      </w:r>
      <w:r>
        <w:rPr>
          <w:rFonts w:hint="eastAsia" w:ascii="Times New Roman" w:cs="Times New Roman"/>
          <w:color w:val="000000" w:themeColor="text1"/>
          <w:sz w:val="28"/>
          <w:szCs w:val="28"/>
          <w:lang w:eastAsia="zh-CN"/>
          <w14:textFill>
            <w14:solidFill>
              <w14:schemeClr w14:val="tx1"/>
            </w14:solidFill>
          </w14:textFill>
        </w:rPr>
        <w:t>公告，</w:t>
      </w:r>
      <w:r>
        <w:rPr>
          <w:rFonts w:hint="default" w:ascii="Times New Roman" w:hAnsi="Times New Roman" w:eastAsia="宋体" w:cs="Times New Roman"/>
          <w:color w:val="000000" w:themeColor="text1"/>
          <w:sz w:val="28"/>
          <w:szCs w:val="28"/>
          <w14:textFill>
            <w14:solidFill>
              <w14:schemeClr w14:val="tx1"/>
            </w14:solidFill>
          </w14:textFill>
        </w:rPr>
        <w:t>2015年5月1日起施行</w:t>
      </w:r>
      <w:r>
        <w:rPr>
          <w:rFonts w:hint="eastAsia" w:ascii="Times New Roman" w:cs="Times New Roman"/>
          <w:color w:val="000000" w:themeColor="text1"/>
          <w:sz w:val="28"/>
          <w:szCs w:val="28"/>
          <w:lang w:eastAsia="zh-CN"/>
          <w14:textFill>
            <w14:solidFill>
              <w14:schemeClr w14:val="tx1"/>
            </w14:solidFill>
          </w14:textFill>
        </w:rPr>
        <w:t>）；</w:t>
      </w:r>
    </w:p>
    <w:p w14:paraId="4931B199">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应急管理部办公厅关于修改</w:t>
      </w:r>
      <w:r>
        <w:rPr>
          <w:rFonts w:hint="eastAsia" w:ascii="Times New Roman" w:cs="Times New Roman"/>
          <w:color w:val="000000" w:themeColor="text1"/>
          <w:sz w:val="28"/>
          <w:szCs w:val="28"/>
          <w:lang w:val="en-US" w:eastAsia="zh-CN"/>
          <w14:textFill>
            <w14:solidFill>
              <w14:schemeClr w14:val="tx1"/>
            </w14:solidFill>
          </w14:textFill>
        </w:rPr>
        <w:t>&lt;</w:t>
      </w:r>
      <w:r>
        <w:rPr>
          <w:rFonts w:hint="default" w:ascii="Times New Roman" w:hAnsi="Times New Roman" w:eastAsia="宋体" w:cs="Times New Roman"/>
          <w:color w:val="000000" w:themeColor="text1"/>
          <w:sz w:val="28"/>
          <w:szCs w:val="28"/>
          <w14:textFill>
            <w14:solidFill>
              <w14:schemeClr w14:val="tx1"/>
            </w14:solidFill>
          </w14:textFill>
        </w:rPr>
        <w:t>危险化学品目录（2015版）实施指南（试行）</w:t>
      </w:r>
      <w:r>
        <w:rPr>
          <w:rFonts w:hint="eastAsia" w:ascii="Times New Roman" w:cs="Times New Roman"/>
          <w:color w:val="000000" w:themeColor="text1"/>
          <w:sz w:val="28"/>
          <w:szCs w:val="28"/>
          <w:lang w:val="en-US" w:eastAsia="zh-CN"/>
          <w14:textFill>
            <w14:solidFill>
              <w14:schemeClr w14:val="tx1"/>
            </w14:solidFill>
          </w14:textFill>
        </w:rPr>
        <w:t>&gt;</w:t>
      </w:r>
      <w:r>
        <w:rPr>
          <w:rFonts w:hint="default" w:ascii="Times New Roman" w:hAnsi="Times New Roman" w:eastAsia="宋体" w:cs="Times New Roman"/>
          <w:color w:val="000000" w:themeColor="text1"/>
          <w:sz w:val="28"/>
          <w:szCs w:val="28"/>
          <w14:textFill>
            <w14:solidFill>
              <w14:schemeClr w14:val="tx1"/>
            </w14:solidFill>
          </w14:textFill>
        </w:rPr>
        <w:t>涉及柴油部分内容的通知</w:t>
      </w:r>
      <w:r>
        <w:rPr>
          <w:rFonts w:hint="eastAsia" w:ascii="Times New Roman" w:cs="Times New Roman"/>
          <w:color w:val="000000" w:themeColor="text1"/>
          <w:sz w:val="28"/>
          <w:szCs w:val="28"/>
          <w:lang w:eastAsia="zh-CN"/>
          <w14:textFill>
            <w14:solidFill>
              <w14:schemeClr w14:val="tx1"/>
            </w14:solidFill>
          </w14:textFill>
        </w:rPr>
        <w:t>》</w:t>
      </w:r>
      <w:r>
        <w:rPr>
          <w:rFonts w:hint="eastAsia" w:ascii="Times New Roman" w:cs="Times New Roman"/>
          <w:color w:val="000000" w:themeColor="text1"/>
          <w:sz w:val="28"/>
          <w:szCs w:val="28"/>
          <w:lang w:val="en-US" w:eastAsia="zh-CN"/>
          <w14:textFill>
            <w14:solidFill>
              <w14:schemeClr w14:val="tx1"/>
            </w14:solidFill>
          </w14:textFill>
        </w:rPr>
        <w:t>（</w:t>
      </w:r>
      <w:r>
        <w:rPr>
          <w:rFonts w:hint="eastAsia" w:ascii="Times New Roman" w:cs="Times New Roman"/>
          <w:color w:val="000000" w:themeColor="text1"/>
          <w:sz w:val="28"/>
          <w:szCs w:val="28"/>
          <w:lang w:eastAsia="zh-CN"/>
          <w14:textFill>
            <w14:solidFill>
              <w14:schemeClr w14:val="tx1"/>
            </w14:solidFill>
          </w14:textFill>
        </w:rPr>
        <w:t>自2023年1月1日起实施</w:t>
      </w:r>
      <w:r>
        <w:rPr>
          <w:rFonts w:hint="eastAsia" w:ascii="Times New Roman" w:cs="Times New Roman"/>
          <w:color w:val="000000" w:themeColor="text1"/>
          <w:sz w:val="28"/>
          <w:szCs w:val="28"/>
          <w:lang w:val="en-US" w:eastAsia="zh-CN"/>
          <w14:textFill>
            <w14:solidFill>
              <w14:schemeClr w14:val="tx1"/>
            </w14:solidFill>
          </w14:textFill>
        </w:rPr>
        <w:t>）；</w:t>
      </w:r>
    </w:p>
    <w:p w14:paraId="79B1B589">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《企业安全生产费用提取和使用管理办法》（财</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资</w:t>
      </w:r>
      <w:r>
        <w:rPr>
          <w:rFonts w:hint="default" w:ascii="Times New Roman" w:hAnsi="Times New Roman" w:eastAsia="宋体" w:cs="Times New Roman"/>
          <w:color w:val="000000" w:themeColor="text1"/>
          <w:sz w:val="28"/>
          <w:szCs w:val="28"/>
          <w14:textFill>
            <w14:solidFill>
              <w14:schemeClr w14:val="tx1"/>
            </w14:solidFill>
          </w14:textFill>
        </w:rPr>
        <w:t>〔20</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22</w:t>
      </w:r>
      <w:r>
        <w:rPr>
          <w:rFonts w:hint="default" w:ascii="Times New Roman" w:hAnsi="Times New Roman" w:eastAsia="宋体" w:cs="Times New Roman"/>
          <w:color w:val="000000" w:themeColor="text1"/>
          <w:sz w:val="28"/>
          <w:szCs w:val="28"/>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136</w:t>
      </w:r>
      <w:r>
        <w:rPr>
          <w:rFonts w:hint="default" w:ascii="Times New Roman" w:hAnsi="Times New Roman" w:eastAsia="宋体" w:cs="Times New Roman"/>
          <w:color w:val="000000" w:themeColor="text1"/>
          <w:sz w:val="28"/>
          <w:szCs w:val="28"/>
          <w14:textFill>
            <w14:solidFill>
              <w14:schemeClr w14:val="tx1"/>
            </w14:solidFill>
          </w14:textFill>
        </w:rPr>
        <w:t>号）；</w:t>
      </w:r>
    </w:p>
    <w:p w14:paraId="35100563">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bookmarkStart w:id="37" w:name="OLE_LINK4"/>
      <w:r>
        <w:rPr>
          <w:rFonts w:hint="default" w:ascii="Times New Roman" w:hAnsi="Times New Roman" w:eastAsia="宋体" w:cs="Times New Roman"/>
          <w:color w:val="000000" w:themeColor="text1"/>
          <w:sz w:val="28"/>
          <w:szCs w:val="28"/>
          <w14:textFill>
            <w14:solidFill>
              <w14:schemeClr w14:val="tx1"/>
            </w14:solidFill>
          </w14:textFill>
        </w:rPr>
        <w:t>《生产经营单位安全培训规定》（国家安全生产监督管理总局令第3号，根据国家安全监管总局令第63号修正；根据国家安全监管总局令第80号修正）</w:t>
      </w:r>
      <w:bookmarkEnd w:id="37"/>
      <w:r>
        <w:rPr>
          <w:rFonts w:hint="default" w:ascii="Times New Roman" w:hAnsi="Times New Roman" w:eastAsia="宋体" w:cs="Times New Roman"/>
          <w:color w:val="000000" w:themeColor="text1"/>
          <w:sz w:val="28"/>
          <w:szCs w:val="28"/>
          <w14:textFill>
            <w14:solidFill>
              <w14:schemeClr w14:val="tx1"/>
            </w14:solidFill>
          </w14:textFill>
        </w:rPr>
        <w:t>；</w:t>
      </w:r>
    </w:p>
    <w:p w14:paraId="18CD1397">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生产安全事故罚款处罚规定（试行）</w:t>
      </w:r>
      <w:r>
        <w:rPr>
          <w:rFonts w:hint="eastAsia" w:ascii="Times New Roman" w:cs="Times New Roman"/>
          <w:color w:val="000000" w:themeColor="text1"/>
          <w:sz w:val="28"/>
          <w:szCs w:val="28"/>
          <w:lang w:eastAsia="zh-CN"/>
          <w14:textFill>
            <w14:solidFill>
              <w14:schemeClr w14:val="tx1"/>
            </w14:solidFill>
          </w14:textFill>
        </w:rPr>
        <w:t>》（国家安全监管总局令第13号，</w:t>
      </w:r>
      <w:r>
        <w:rPr>
          <w:rFonts w:hint="default" w:ascii="Times New Roman" w:hAnsi="Times New Roman" w:eastAsia="宋体" w:cs="Times New Roman"/>
          <w:color w:val="000000" w:themeColor="text1"/>
          <w:sz w:val="28"/>
          <w:szCs w:val="28"/>
          <w14:textFill>
            <w14:solidFill>
              <w14:schemeClr w14:val="tx1"/>
            </w14:solidFill>
          </w14:textFill>
        </w:rPr>
        <w:t>自2015年5月1日起施行</w:t>
      </w: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w:t>
      </w:r>
    </w:p>
    <w:p w14:paraId="27BD6B7E">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《安全生产违法行为行政处罚办法》（国家安全生产监督管理总局令第15号）；</w:t>
      </w:r>
    </w:p>
    <w:p w14:paraId="501DA9B6">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《安全生产事故隐患排查治理暂行规定》（国家安全生产监督管理总局令第16号）；</w:t>
      </w:r>
    </w:p>
    <w:p w14:paraId="5D414156">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《生产安全事故应急预案管理办法》（国家安全生产监督管理总局令第88号，应急管理部第2号修改，2019年9月1日起实施）；</w:t>
      </w:r>
    </w:p>
    <w:p w14:paraId="328B2038">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《特种作业人员安全技术培训考核管理规定》（修订）（国家安全生产监督管理总局令第30号发布，根据国家安全监管总局令第63号修正，根据国家安全监管总局令第80号修正）；</w:t>
      </w:r>
    </w:p>
    <w:p w14:paraId="1D1F288B">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《安全生产培训管理办法》（国家安全生产监督管理总局令第44号，根据国家安全监管总局令第63号第一次修正，根据国家安全监管总局令第80号第二次修正）；</w:t>
      </w:r>
    </w:p>
    <w:p w14:paraId="2C9EBFB1">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工贸企业有限空间作业安全规定</w:t>
      </w: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（应急管理部令第13号公布，自2024年1月1日起施行）；</w:t>
      </w:r>
    </w:p>
    <w:p w14:paraId="7545B182">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《国家安全监管总局关于修改〈生产经营单位安全培训规定〉等11件规章的决定》（国家安全生产监督管理总局令第63号）；</w:t>
      </w:r>
    </w:p>
    <w:p w14:paraId="2B9C9862">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《国家安全监管总局关于修改</w:t>
      </w:r>
      <w:r>
        <w:rPr>
          <w:rFonts w:hint="default" w:ascii="Times New Roman" w:hAnsi="Times New Roman" w:eastAsia="宋体"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生产安全事故报告和调查处理条例</w:t>
      </w:r>
      <w:r>
        <w:rPr>
          <w:rFonts w:hint="default" w:ascii="Times New Roman" w:hAnsi="Times New Roman" w:eastAsia="宋体"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罚款处罚暂行规定等四部规章的决定》（国家安全生产监督管理总局令第77号）；</w:t>
      </w:r>
    </w:p>
    <w:p w14:paraId="717FC61C">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《消防监督检查规定》（中华人民共和国公安部令第120号）；</w:t>
      </w:r>
    </w:p>
    <w:p w14:paraId="4888F4C8">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《质检总局关于修订《特种设备目录》的公告》（国家质量监督检验检疫总局2014年第114号）；</w:t>
      </w:r>
    </w:p>
    <w:p w14:paraId="72E1A824">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《国家质量监督检验检疫总局关于修改</w:t>
      </w:r>
      <w:r>
        <w:rPr>
          <w:rFonts w:hint="default" w:ascii="Times New Roman" w:hAnsi="Times New Roman" w:eastAsia="宋体"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特种设备作业人员监督管理办法</w:t>
      </w:r>
      <w:r>
        <w:rPr>
          <w:rFonts w:hint="default" w:ascii="Times New Roman" w:hAnsi="Times New Roman" w:eastAsia="宋体"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的决定》（国家质量监督检验检疫总局第140号）；</w:t>
      </w:r>
    </w:p>
    <w:p w14:paraId="6439869C">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《国家发展改革委关于修改</w:t>
      </w:r>
      <w:r>
        <w:rPr>
          <w:rFonts w:hint="default" w:ascii="Times New Roman" w:hAnsi="Times New Roman" w:eastAsia="宋体"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产业结构调整指导目录（2011年本）</w:t>
      </w:r>
      <w:r>
        <w:rPr>
          <w:rFonts w:hint="default" w:ascii="Times New Roman" w:hAnsi="Times New Roman" w:eastAsia="宋体"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有关条款的决定》（中华人民共和国国家发展和改革委员会令第21号）；</w:t>
      </w:r>
    </w:p>
    <w:p w14:paraId="46D61140">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《部分工业行业淘汰落后生产工艺装备和产品指导目录（2010年本）》（中华人民共和国工业和信息化部公告工产业〔2010〕第122号）；</w:t>
      </w:r>
    </w:p>
    <w:p w14:paraId="4597F17E">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《防雷减灾管理办法》（中国气象局〔</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2013</w:t>
      </w:r>
      <w:r>
        <w:rPr>
          <w:rFonts w:hint="default" w:ascii="Times New Roman" w:hAnsi="Times New Roman" w:eastAsia="宋体" w:cs="Times New Roman"/>
          <w:color w:val="000000" w:themeColor="text1"/>
          <w:sz w:val="28"/>
          <w:szCs w:val="28"/>
          <w14:textFill>
            <w14:solidFill>
              <w14:schemeClr w14:val="tx1"/>
            </w14:solidFill>
          </w14:textFill>
        </w:rPr>
        <w:t>〕第24号）</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p>
    <w:p w14:paraId="3F80B8E3">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0" w:firstLine="560" w:firstLineChars="200"/>
        <w:textAlignment w:val="auto"/>
        <w:rPr>
          <w:rFonts w:hint="eastAsia" w:ascii="宋体" w:hAnsi="宋体" w:eastAsia="宋体" w:cs="宋体"/>
          <w:color w:val="0000FF"/>
          <w:sz w:val="28"/>
          <w:szCs w:val="28"/>
        </w:rPr>
      </w:pPr>
      <w:r>
        <w:rPr>
          <w:rFonts w:hint="eastAsia" w:ascii="宋体" w:hAnsi="宋体" w:eastAsia="宋体" w:cs="宋体"/>
          <w:color w:val="0000FF"/>
          <w:sz w:val="28"/>
          <w:szCs w:val="28"/>
          <w:lang w:val="en-US" w:eastAsia="zh-CN"/>
        </w:rPr>
        <w:t>《生产安全事故罚款处罚规定》（中华人民共和国应急管理部令第14号）。</w:t>
      </w:r>
    </w:p>
    <w:p w14:paraId="7B00EFC9">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38" w:name="_Toc327017722"/>
      <w:bookmarkStart w:id="39" w:name="_Toc309682388"/>
      <w:bookmarkStart w:id="40" w:name="_Toc953"/>
      <w:bookmarkStart w:id="41" w:name="_Toc18270"/>
      <w:bookmarkStart w:id="42" w:name="_Toc335926128"/>
      <w:bookmarkStart w:id="43" w:name="_Toc23977"/>
      <w:bookmarkStart w:id="44" w:name="_Toc313453423"/>
      <w:r>
        <w:rPr>
          <w:rFonts w:hint="default" w:ascii="Times New Roman" w:hAnsi="Times New Roman" w:eastAsia="黑体" w:cs="Times New Roman"/>
          <w:color w:val="000000" w:themeColor="text1"/>
          <w14:textFill>
            <w14:solidFill>
              <w14:schemeClr w14:val="tx1"/>
            </w14:solidFill>
          </w14:textFill>
        </w:rPr>
        <w:t>1.2.4</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地方有关法规</w:t>
      </w:r>
      <w:bookmarkEnd w:id="38"/>
      <w:bookmarkEnd w:id="39"/>
      <w:r>
        <w:rPr>
          <w:rFonts w:hint="default" w:ascii="Times New Roman" w:hAnsi="Times New Roman" w:eastAsia="黑体" w:cs="Times New Roman"/>
          <w:color w:val="000000" w:themeColor="text1"/>
          <w14:textFill>
            <w14:solidFill>
              <w14:schemeClr w14:val="tx1"/>
            </w14:solidFill>
          </w14:textFill>
        </w:rPr>
        <w:t>文件</w:t>
      </w:r>
      <w:bookmarkEnd w:id="40"/>
      <w:bookmarkEnd w:id="41"/>
      <w:bookmarkEnd w:id="42"/>
      <w:bookmarkEnd w:id="43"/>
    </w:p>
    <w:p w14:paraId="2EA095F6">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《云南省安全生产条例》（云南省第十二届人民代表大会常务委员会第三十八次会议于2017年11月30日修订通过，2018年1月1日起施行）；</w:t>
      </w:r>
    </w:p>
    <w:p w14:paraId="6115362E">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《云南省消防条例》（云南省十一届人大常委会公告第31号，自2011年1月1日起施行）；</w:t>
      </w:r>
    </w:p>
    <w:p w14:paraId="7CBF4115">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《云南省安全生产事故调查暂行规定》（云南省人民政府办公厅2005年12月30日印发）；</w:t>
      </w:r>
    </w:p>
    <w:p w14:paraId="35617E3F">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《云南省人民政府贯彻落实国务院关于进一步加强企业安全生产工作通知的实施意见》（云政发〔2010〕157号）；</w:t>
      </w:r>
    </w:p>
    <w:p w14:paraId="39A61DF9">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《云南省人民政府关于进一步加强安全生产工作的决定》（云政发〔2011〕229号）；</w:t>
      </w:r>
    </w:p>
    <w:p w14:paraId="4A1EEC82">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bookmarkStart w:id="45" w:name="OLE_LINK3"/>
      <w:r>
        <w:rPr>
          <w:rFonts w:hint="default" w:ascii="Times New Roman" w:hAnsi="Times New Roman" w:eastAsia="宋体" w:cs="Times New Roman"/>
          <w:color w:val="000000" w:themeColor="text1"/>
          <w:sz w:val="28"/>
          <w:szCs w:val="28"/>
          <w14:textFill>
            <w14:solidFill>
              <w14:schemeClr w14:val="tx1"/>
            </w14:solidFill>
          </w14:textFill>
        </w:rPr>
        <w:t>《云南省安全生产监督管理局关于全面推进全省冶金等工贸行业企业安全生产标准化建设的实施意见》（云安监管（2013）29号）</w:t>
      </w:r>
      <w:bookmarkEnd w:id="45"/>
      <w:r>
        <w:rPr>
          <w:rFonts w:hint="eastAsia" w:ascii="Times New Roman" w:cs="Times New Roman"/>
          <w:color w:val="000000" w:themeColor="text1"/>
          <w:sz w:val="28"/>
          <w:szCs w:val="28"/>
          <w:lang w:eastAsia="zh-CN"/>
          <w14:textFill>
            <w14:solidFill>
              <w14:schemeClr w14:val="tx1"/>
            </w14:solidFill>
          </w14:textFill>
        </w:rPr>
        <w:t>；</w:t>
      </w:r>
    </w:p>
    <w:p w14:paraId="10E34ECF">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云南省生产经营单位安全生产主体责任规定</w:t>
      </w:r>
      <w:r>
        <w:rPr>
          <w:rFonts w:hint="eastAsia" w:ascii="Times New Roman" w:cs="Times New Roman"/>
          <w:color w:val="000000" w:themeColor="text1"/>
          <w:sz w:val="28"/>
          <w:szCs w:val="28"/>
          <w:lang w:eastAsia="zh-CN"/>
          <w14:textFill>
            <w14:solidFill>
              <w14:schemeClr w14:val="tx1"/>
            </w14:solidFill>
          </w14:textFill>
        </w:rPr>
        <w:t>》（云政规〔2022〕）4号；</w:t>
      </w:r>
    </w:p>
    <w:p w14:paraId="29B88733">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lang w:eastAsia="zh-CN"/>
          <w14:textFill>
            <w14:solidFill>
              <w14:schemeClr w14:val="tx1"/>
            </w14:solidFill>
          </w14:textFill>
        </w:rPr>
        <w:t>《云南省应急管理厅关于印发云南省工贸行业重大事故隐患专项排查整治2023行动实施方案的通知》（云应急函〔2023〕104号）</w:t>
      </w:r>
      <w:r>
        <w:rPr>
          <w:rFonts w:hint="eastAsia" w:ascii="Times New Roman" w:hAnsi="Times New Roman" w:cs="Times New Roman"/>
          <w:color w:val="000000" w:themeColor="text1"/>
          <w:sz w:val="28"/>
          <w:szCs w:val="28"/>
          <w:lang w:eastAsia="zh-CN"/>
          <w14:textFill>
            <w14:solidFill>
              <w14:schemeClr w14:val="tx1"/>
            </w14:solidFill>
          </w14:textFill>
        </w:rPr>
        <w:t>；</w:t>
      </w:r>
    </w:p>
    <w:p w14:paraId="48EF2A7E">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cs="Times New Roman"/>
          <w:color w:val="000000" w:themeColor="text1"/>
          <w:sz w:val="28"/>
          <w:szCs w:val="28"/>
          <w:lang w:eastAsia="zh-CN"/>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《建材行业安全生产保障能力提升行动工作方案》（云应急办〔2023〕21号）；</w:t>
      </w:r>
    </w:p>
    <w:p w14:paraId="30EAC638">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《云南省2023年工贸重点企业有限空间作业专家指导服务工作实施方案》（云应急办函〔2023〕19号）</w:t>
      </w:r>
      <w:r>
        <w:rPr>
          <w:rFonts w:hint="eastAsia" w:ascii="Times New Roman" w:cs="Times New Roman"/>
          <w:color w:val="000000" w:themeColor="text1"/>
          <w:sz w:val="28"/>
          <w:szCs w:val="28"/>
          <w:lang w:eastAsia="zh-CN"/>
          <w14:textFill>
            <w14:solidFill>
              <w14:schemeClr w14:val="tx1"/>
            </w14:solidFill>
          </w14:textFill>
        </w:rPr>
        <w:t>；</w:t>
      </w:r>
    </w:p>
    <w:p w14:paraId="50821061">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FF"/>
          <w:sz w:val="28"/>
          <w:szCs w:val="28"/>
        </w:rPr>
      </w:pPr>
      <w:r>
        <w:rPr>
          <w:rFonts w:hint="eastAsia" w:ascii="宋体" w:hAnsi="宋体" w:eastAsia="宋体" w:cs="宋体"/>
          <w:color w:val="0000FF"/>
          <w:sz w:val="28"/>
          <w:szCs w:val="28"/>
          <w:lang w:val="en-US" w:eastAsia="zh-CN"/>
        </w:rPr>
        <w:t>《云南省生产安全事故应急办法》（云政令227号）。</w:t>
      </w:r>
    </w:p>
    <w:p w14:paraId="6A3B3F7F">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46" w:name="_Toc7695"/>
      <w:bookmarkStart w:id="47" w:name="_Toc3281"/>
      <w:bookmarkStart w:id="48" w:name="_Toc31498"/>
      <w:bookmarkStart w:id="49" w:name="_Toc335926129"/>
      <w:r>
        <w:rPr>
          <w:rFonts w:hint="default" w:ascii="Times New Roman" w:hAnsi="Times New Roman" w:eastAsia="黑体" w:cs="Times New Roman"/>
          <w:color w:val="000000" w:themeColor="text1"/>
          <w14:textFill>
            <w14:solidFill>
              <w14:schemeClr w14:val="tx1"/>
            </w14:solidFill>
          </w14:textFill>
        </w:rPr>
        <w:t>1.2.5</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国家标准</w:t>
      </w:r>
      <w:bookmarkEnd w:id="44"/>
      <w:bookmarkEnd w:id="46"/>
      <w:bookmarkEnd w:id="47"/>
      <w:bookmarkEnd w:id="48"/>
      <w:bookmarkEnd w:id="49"/>
    </w:p>
    <w:p w14:paraId="05CC2AE6">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《工业企业设计卫生标准》（GBZ1-2010）；</w:t>
      </w:r>
    </w:p>
    <w:p w14:paraId="55DD0A5A">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《工业企业总平面设计规范》（GB50187-2012）；</w:t>
      </w:r>
    </w:p>
    <w:p w14:paraId="5E114754">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《工业企业厂内铁路、道路运输安全规程》（GB4387-2008）；</w:t>
      </w:r>
    </w:p>
    <w:p w14:paraId="278E8327">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《工业车辆 使用、操作与维护安全规范》（GB/T 36507-2023）</w:t>
      </w:r>
    </w:p>
    <w:p w14:paraId="7FF7667A">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《工业企业噪声控制设计规范》（GB/T50087-2013）；</w:t>
      </w:r>
    </w:p>
    <w:p w14:paraId="4A97E7C1">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《工业建筑防腐蚀设计</w:t>
      </w:r>
      <w:r>
        <w:rPr>
          <w:rFonts w:hint="eastAsia" w:ascii="Times New Roman" w:hAnsi="Times New Roman" w:eastAsia="宋体" w:cs="Times New Roman"/>
          <w:color w:val="000000" w:themeColor="text1"/>
          <w:sz w:val="28"/>
          <w:szCs w:val="28"/>
          <w:lang w:eastAsia="zh-CN"/>
          <w14:textFill>
            <w14:solidFill>
              <w14:schemeClr w14:val="tx1"/>
            </w14:solidFill>
          </w14:textFill>
        </w:rPr>
        <w:t>标准</w:t>
      </w:r>
      <w:r>
        <w:rPr>
          <w:rFonts w:hint="default" w:ascii="Times New Roman" w:hAnsi="Times New Roman" w:eastAsia="宋体" w:cs="Times New Roman"/>
          <w:color w:val="000000" w:themeColor="text1"/>
          <w:sz w:val="28"/>
          <w:szCs w:val="28"/>
          <w14:textFill>
            <w14:solidFill>
              <w14:schemeClr w14:val="tx1"/>
            </w14:solidFill>
          </w14:textFill>
        </w:rPr>
        <w:t>》（GB</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/T</w:t>
      </w:r>
      <w:r>
        <w:rPr>
          <w:rFonts w:hint="default" w:ascii="Times New Roman" w:hAnsi="Times New Roman" w:eastAsia="宋体" w:cs="Times New Roman"/>
          <w:color w:val="000000" w:themeColor="text1"/>
          <w:sz w:val="28"/>
          <w:szCs w:val="28"/>
          <w14:textFill>
            <w14:solidFill>
              <w14:schemeClr w14:val="tx1"/>
            </w14:solidFill>
          </w14:textFill>
        </w:rPr>
        <w:t>50046-2018）；</w:t>
      </w:r>
    </w:p>
    <w:p w14:paraId="366A25C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《建筑照明设计标准》（GB</w:t>
      </w:r>
      <w:r>
        <w:rPr>
          <w:rFonts w:hint="eastAsia" w:ascii="Times New Roman" w:hAnsi="Times New Roman" w:eastAsia="宋体" w:cs="Times New Roman"/>
          <w:color w:val="000000" w:themeColor="text1"/>
          <w:sz w:val="28"/>
          <w:szCs w:val="28"/>
          <w14:textFill>
            <w14:solidFill>
              <w14:schemeClr w14:val="tx1"/>
            </w14:solidFill>
          </w14:textFill>
        </w:rPr>
        <w:t>/T</w:t>
      </w:r>
      <w:r>
        <w:rPr>
          <w:rFonts w:hint="default" w:ascii="Times New Roman" w:hAnsi="Times New Roman" w:eastAsia="宋体" w:cs="Times New Roman"/>
          <w:color w:val="000000" w:themeColor="text1"/>
          <w:sz w:val="28"/>
          <w:szCs w:val="28"/>
          <w14:textFill>
            <w14:solidFill>
              <w14:schemeClr w14:val="tx1"/>
            </w14:solidFill>
          </w14:textFill>
        </w:rPr>
        <w:t>50034-20</w:t>
      </w:r>
      <w:r>
        <w:rPr>
          <w:rFonts w:hint="eastAsia" w:ascii="Times New Roman" w:hAnsi="Times New Roman" w:eastAsia="宋体" w:cs="Times New Roman"/>
          <w:color w:val="000000" w:themeColor="text1"/>
          <w:sz w:val="28"/>
          <w:szCs w:val="28"/>
          <w14:textFill>
            <w14:solidFill>
              <w14:schemeClr w14:val="tx1"/>
            </w14:solidFill>
          </w14:textFill>
        </w:rPr>
        <w:t>24</w:t>
      </w:r>
      <w:r>
        <w:rPr>
          <w:rFonts w:hint="default" w:ascii="Times New Roman" w:hAnsi="Times New Roman" w:eastAsia="宋体" w:cs="Times New Roman"/>
          <w:color w:val="000000" w:themeColor="text1"/>
          <w:sz w:val="28"/>
          <w:szCs w:val="28"/>
          <w14:textFill>
            <w14:solidFill>
              <w14:schemeClr w14:val="tx1"/>
            </w14:solidFill>
          </w14:textFill>
        </w:rPr>
        <w:t>）；</w:t>
      </w:r>
    </w:p>
    <w:p w14:paraId="2BA03A8E">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《厂矿道路设计规范》（GBJ 22-1987）；</w:t>
      </w:r>
    </w:p>
    <w:p w14:paraId="53EB108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《企业职工伤亡事故分类》（GB6441-1986）；</w:t>
      </w:r>
    </w:p>
    <w:p w14:paraId="786A815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《生产过程危险和有害因素分类与代码》（GB/T13861-</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2022</w:t>
      </w:r>
      <w:r>
        <w:rPr>
          <w:rFonts w:hint="default" w:ascii="Times New Roman" w:hAnsi="Times New Roman" w:eastAsia="宋体" w:cs="Times New Roman"/>
          <w:color w:val="000000" w:themeColor="text1"/>
          <w:sz w:val="28"/>
          <w:szCs w:val="28"/>
          <w14:textFill>
            <w14:solidFill>
              <w14:schemeClr w14:val="tx1"/>
            </w14:solidFill>
          </w14:textFill>
        </w:rPr>
        <w:t>）；</w:t>
      </w:r>
    </w:p>
    <w:p w14:paraId="19E9DA7C">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《建筑设计防火规范（2018</w:t>
      </w:r>
      <w:r>
        <w:rPr>
          <w:rFonts w:hint="default" w:ascii="Times New Roman" w:hAnsi="Times New Roman" w:eastAsia="宋体" w:cs="Times New Roman"/>
          <w:color w:val="000000" w:themeColor="text1"/>
          <w:sz w:val="28"/>
          <w:szCs w:val="28"/>
          <w:lang w:eastAsia="zh-CN"/>
          <w14:textFill>
            <w14:solidFill>
              <w14:schemeClr w14:val="tx1"/>
            </w14:solidFill>
          </w14:textFill>
        </w:rPr>
        <w:t>年</w:t>
      </w:r>
      <w:r>
        <w:rPr>
          <w:rFonts w:hint="default" w:ascii="Times New Roman" w:hAnsi="Times New Roman" w:eastAsia="宋体" w:cs="Times New Roman"/>
          <w:color w:val="000000" w:themeColor="text1"/>
          <w:sz w:val="28"/>
          <w:szCs w:val="28"/>
          <w14:textFill>
            <w14:solidFill>
              <w14:schemeClr w14:val="tx1"/>
            </w14:solidFill>
          </w14:textFill>
        </w:rPr>
        <w:t>版）》（GB50016-2014）；</w:t>
      </w:r>
    </w:p>
    <w:p w14:paraId="55FEBABC">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《建筑物防雷设计规范》（GB50057-2010）；</w:t>
      </w:r>
    </w:p>
    <w:p w14:paraId="549EFFBB">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《建筑灭火器配置设计规范》（GB50140-2005）；</w:t>
      </w:r>
    </w:p>
    <w:p w14:paraId="294F50D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《建筑抗震设计规范（</w:t>
      </w:r>
      <w:r>
        <w:rPr>
          <w:rFonts w:hint="default" w:ascii="Times New Roman" w:hAnsi="Times New Roman" w:eastAsia="宋体" w:cs="Times New Roman"/>
          <w:color w:val="0000FF"/>
          <w:sz w:val="28"/>
          <w:szCs w:val="28"/>
        </w:rPr>
        <w:t>20</w:t>
      </w:r>
      <w:r>
        <w:rPr>
          <w:rFonts w:hint="eastAsia" w:ascii="Times New Roman" w:cs="Times New Roman"/>
          <w:color w:val="0000FF"/>
          <w:sz w:val="28"/>
          <w:szCs w:val="28"/>
          <w:lang w:val="en-US" w:eastAsia="zh-CN"/>
        </w:rPr>
        <w:t>24</w:t>
      </w:r>
      <w:r>
        <w:rPr>
          <w:rFonts w:hint="default" w:ascii="Times New Roman" w:hAnsi="Times New Roman" w:eastAsia="宋体" w:cs="Times New Roman"/>
          <w:color w:val="0000FF"/>
          <w:sz w:val="28"/>
          <w:szCs w:val="28"/>
        </w:rPr>
        <w:t>年版</w:t>
      </w:r>
      <w:r>
        <w:rPr>
          <w:rFonts w:hint="default" w:ascii="Times New Roman" w:hAnsi="Times New Roman" w:eastAsia="宋体" w:cs="Times New Roman"/>
          <w:color w:val="000000" w:themeColor="text1"/>
          <w:sz w:val="28"/>
          <w:szCs w:val="28"/>
          <w14:textFill>
            <w14:solidFill>
              <w14:schemeClr w14:val="tx1"/>
            </w14:solidFill>
          </w14:textFill>
        </w:rPr>
        <w:t>）》（GB 50011-2010）；</w:t>
      </w:r>
    </w:p>
    <w:p w14:paraId="7BF5E8F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《密闭空间作业职业危害防护规范》（GBZ/T205-2007）；</w:t>
      </w:r>
    </w:p>
    <w:p w14:paraId="4F2B5DF2">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《构筑物抗震设计规范》（GB50191-2012）；</w:t>
      </w:r>
    </w:p>
    <w:p w14:paraId="28FECE2F">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《室外排水设计</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标</w:t>
      </w:r>
      <w:r>
        <w:rPr>
          <w:rFonts w:hint="eastAsia" w:ascii="Times New Roman" w:cs="Times New Roman"/>
          <w:color w:val="000000" w:themeColor="text1"/>
          <w:sz w:val="28"/>
          <w:szCs w:val="28"/>
          <w:lang w:val="en-US" w:eastAsia="zh-CN"/>
          <w14:textFill>
            <w14:solidFill>
              <w14:schemeClr w14:val="tx1"/>
            </w14:solidFill>
          </w14:textFill>
        </w:rPr>
        <w:t>准</w:t>
      </w:r>
      <w:r>
        <w:rPr>
          <w:rFonts w:hint="default" w:ascii="Times New Roman" w:hAnsi="Times New Roman" w:eastAsia="宋体" w:cs="Times New Roman"/>
          <w:color w:val="000000" w:themeColor="text1"/>
          <w:sz w:val="28"/>
          <w:szCs w:val="28"/>
          <w14:textFill>
            <w14:solidFill>
              <w14:schemeClr w14:val="tx1"/>
            </w14:solidFill>
          </w14:textFill>
        </w:rPr>
        <w:t>》（GB50014-20</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21</w:t>
      </w:r>
      <w:r>
        <w:rPr>
          <w:rFonts w:hint="default" w:ascii="Times New Roman" w:hAnsi="Times New Roman" w:eastAsia="宋体" w:cs="Times New Roman"/>
          <w:color w:val="000000" w:themeColor="text1"/>
          <w:sz w:val="28"/>
          <w:szCs w:val="28"/>
          <w14:textFill>
            <w14:solidFill>
              <w14:schemeClr w14:val="tx1"/>
            </w14:solidFill>
          </w14:textFill>
        </w:rPr>
        <w:t>）；</w:t>
      </w:r>
    </w:p>
    <w:p w14:paraId="1C5723F9">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《危险化学品重大危险源辨识》（GB18218-2018）；</w:t>
      </w:r>
    </w:p>
    <w:p w14:paraId="54812F2A">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《安全色》（GB2893-2008）；</w:t>
      </w:r>
    </w:p>
    <w:p w14:paraId="6A17A44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《安全标志及其使用导则》（GB2894-2008）；</w:t>
      </w:r>
    </w:p>
    <w:p w14:paraId="69CBBC2C">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《消防安全标志 第1部分：标志》（GB 13495.1-2015）</w:t>
      </w:r>
    </w:p>
    <w:p w14:paraId="343D3C4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《消防安全标志设置要求》（GB15630-1995）；</w:t>
      </w:r>
    </w:p>
    <w:p w14:paraId="4E7440D6">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《用电安全导则》（GB/T 13869-2017）；</w:t>
      </w:r>
    </w:p>
    <w:p w14:paraId="2AF18A3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《电气设备安全设计导则》（GB</w:t>
      </w:r>
      <w:r>
        <w:rPr>
          <w:rFonts w:hint="eastAsia" w:ascii="Times New Roman" w:cs="Times New Roman"/>
          <w:color w:val="000000" w:themeColor="text1"/>
          <w:sz w:val="28"/>
          <w:szCs w:val="28"/>
          <w:lang w:val="en-US" w:eastAsia="zh-CN"/>
          <w14:textFill>
            <w14:solidFill>
              <w14:schemeClr w14:val="tx1"/>
            </w14:solidFill>
          </w14:textFill>
        </w:rPr>
        <w:t>/T</w:t>
      </w:r>
      <w:r>
        <w:rPr>
          <w:rFonts w:hint="default" w:ascii="Times New Roman" w:hAnsi="Times New Roman" w:eastAsia="宋体" w:cs="Times New Roman"/>
          <w:color w:val="000000" w:themeColor="text1"/>
          <w:sz w:val="28"/>
          <w:szCs w:val="28"/>
          <w14:textFill>
            <w14:solidFill>
              <w14:schemeClr w14:val="tx1"/>
            </w14:solidFill>
          </w14:textFill>
        </w:rPr>
        <w:t>25295-2010）；</w:t>
      </w:r>
    </w:p>
    <w:p w14:paraId="7574C476">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《通用用电设备配电设计规范》（GB50055-2011）；</w:t>
      </w:r>
    </w:p>
    <w:p w14:paraId="622393FE">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《供配电系统设计规范》（GB50052-2009）；</w:t>
      </w:r>
    </w:p>
    <w:p w14:paraId="281DE86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《低压配电设计规范》（GB50054-2011）；</w:t>
      </w:r>
    </w:p>
    <w:p w14:paraId="0F01D584">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《防止静电事故通用导则》（GB12158-2006）；</w:t>
      </w:r>
    </w:p>
    <w:p w14:paraId="49AD76BE">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《机械安全 防护装置 固定式和活动式防护装置设计与制造一般要求》（GB/T 8196-20</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18</w:t>
      </w:r>
      <w:r>
        <w:rPr>
          <w:rFonts w:hint="default" w:ascii="Times New Roman" w:hAnsi="Times New Roman" w:eastAsia="宋体" w:cs="Times New Roman"/>
          <w:color w:val="000000" w:themeColor="text1"/>
          <w:sz w:val="28"/>
          <w:szCs w:val="28"/>
          <w14:textFill>
            <w14:solidFill>
              <w14:schemeClr w14:val="tx1"/>
            </w14:solidFill>
          </w14:textFill>
        </w:rPr>
        <w:t>）；</w:t>
      </w:r>
    </w:p>
    <w:p w14:paraId="72A8EC21">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《起重机械安全规程 第1部分：总则》（GB</w:t>
      </w:r>
      <w:r>
        <w:rPr>
          <w:rFonts w:hint="eastAsia" w:ascii="Times New Roman" w:cs="Times New Roman"/>
          <w:color w:val="000000" w:themeColor="text1"/>
          <w:sz w:val="28"/>
          <w:szCs w:val="28"/>
          <w:lang w:val="en-US" w:eastAsia="zh-CN"/>
          <w14:textFill>
            <w14:solidFill>
              <w14:schemeClr w14:val="tx1"/>
            </w14:solidFill>
          </w14:textFill>
        </w:rPr>
        <w:t>/T</w:t>
      </w:r>
      <w:r>
        <w:rPr>
          <w:rFonts w:hint="default" w:ascii="Times New Roman" w:hAnsi="Times New Roman" w:eastAsia="宋体" w:cs="Times New Roman"/>
          <w:color w:val="000000" w:themeColor="text1"/>
          <w:sz w:val="28"/>
          <w:szCs w:val="28"/>
          <w14:textFill>
            <w14:solidFill>
              <w14:schemeClr w14:val="tx1"/>
            </w14:solidFill>
          </w14:textFill>
        </w:rPr>
        <w:t>6067.1-2010）；</w:t>
      </w:r>
    </w:p>
    <w:p w14:paraId="18616136">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《生产经营单位生产安全事故应急预案编制导则》（GB/T29639-2020）</w:t>
      </w:r>
      <w:r>
        <w:rPr>
          <w:rFonts w:hint="eastAsia" w:ascii="Times New Roman" w:cs="Times New Roman"/>
          <w:color w:val="000000" w:themeColor="text1"/>
          <w:sz w:val="28"/>
          <w:szCs w:val="28"/>
          <w:lang w:eastAsia="zh-CN"/>
          <w14:textFill>
            <w14:solidFill>
              <w14:schemeClr w14:val="tx1"/>
            </w14:solidFill>
          </w14:textFill>
        </w:rPr>
        <w:t>；</w:t>
      </w:r>
    </w:p>
    <w:p w14:paraId="4C8809A8">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带式输送机》（GB/T 10595-2017）；</w:t>
      </w:r>
    </w:p>
    <w:p w14:paraId="4388B1FB">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《带式输送机 安全规范》（GB 14784-2013）</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p>
    <w:p w14:paraId="0FD2B4B4">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《生产设备安全卫生设计总则》（</w:t>
      </w:r>
      <w:r>
        <w:rPr>
          <w:rFonts w:hint="eastAsia" w:ascii="Times New Roman" w:hAnsi="Times New Roman" w:eastAsia="宋体" w:cs="Times New Roman"/>
          <w:color w:val="000000" w:themeColor="text1"/>
          <w:sz w:val="28"/>
          <w:szCs w:val="28"/>
          <w14:textFill>
            <w14:solidFill>
              <w14:schemeClr w14:val="tx1"/>
            </w14:solidFill>
          </w14:textFill>
        </w:rPr>
        <w:t>GB5083-2023</w:t>
      </w:r>
      <w:r>
        <w:rPr>
          <w:rFonts w:hint="default" w:ascii="Times New Roman" w:hAnsi="Times New Roman" w:eastAsia="宋体" w:cs="Times New Roman"/>
          <w:color w:val="000000" w:themeColor="text1"/>
          <w:sz w:val="28"/>
          <w:szCs w:val="28"/>
          <w14:textFill>
            <w14:solidFill>
              <w14:schemeClr w14:val="tx1"/>
            </w14:solidFill>
          </w14:textFill>
        </w:rPr>
        <w:t>）</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p>
    <w:p w14:paraId="58CACC09">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《烧结砖瓦工厂设计规范》（GB50701-2011）</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p>
    <w:p w14:paraId="71EC2C46">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50" w:name="_Toc26320"/>
      <w:bookmarkStart w:id="51" w:name="_Toc19839"/>
      <w:bookmarkStart w:id="52" w:name="_Toc1315"/>
      <w:r>
        <w:rPr>
          <w:rFonts w:hint="default" w:ascii="Times New Roman" w:hAnsi="Times New Roman" w:eastAsia="黑体" w:cs="Times New Roman"/>
          <w:color w:val="000000" w:themeColor="text1"/>
          <w14:textFill>
            <w14:solidFill>
              <w14:schemeClr w14:val="tx1"/>
            </w14:solidFill>
          </w14:textFill>
        </w:rPr>
        <w:t>1.2.6</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行业标准</w:t>
      </w:r>
      <w:bookmarkEnd w:id="50"/>
      <w:bookmarkEnd w:id="51"/>
      <w:bookmarkEnd w:id="52"/>
    </w:p>
    <w:p w14:paraId="7B96590E">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1"/>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《安全评价通则》（AQ8001-2007）；</w:t>
      </w:r>
    </w:p>
    <w:p w14:paraId="1F521333">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1"/>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生产安全事故应急演练基本规范</w:t>
      </w:r>
      <w:r>
        <w:rPr>
          <w:rFonts w:hint="default" w:ascii="Times New Roman" w:hAnsi="Times New Roman" w:eastAsia="宋体" w:cs="Times New Roman"/>
          <w:color w:val="000000" w:themeColor="text1"/>
          <w:sz w:val="28"/>
          <w:szCs w:val="21"/>
          <w14:textFill>
            <w14:solidFill>
              <w14:schemeClr w14:val="tx1"/>
            </w14:solidFill>
          </w14:textFill>
        </w:rPr>
        <w:t>》（AQ/T9007-2019）</w:t>
      </w:r>
      <w:r>
        <w:rPr>
          <w:rFonts w:hint="default" w:ascii="Times New Roman" w:hAnsi="Times New Roman" w:eastAsia="宋体" w:cs="Times New Roman"/>
          <w:color w:val="000000" w:themeColor="text1"/>
          <w:sz w:val="28"/>
          <w:szCs w:val="28"/>
          <w14:textFill>
            <w14:solidFill>
              <w14:schemeClr w14:val="tx1"/>
            </w14:solidFill>
          </w14:textFill>
        </w:rPr>
        <w:t>；</w:t>
      </w:r>
    </w:p>
    <w:p w14:paraId="3F9E5345">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1"/>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《特种设备作业人员考核规则》（TSG Z6001-20</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19</w:t>
      </w:r>
      <w:r>
        <w:rPr>
          <w:rFonts w:hint="default" w:ascii="Times New Roman" w:hAnsi="Times New Roman" w:eastAsia="宋体" w:cs="Times New Roman"/>
          <w:color w:val="000000" w:themeColor="text1"/>
          <w:sz w:val="28"/>
          <w:szCs w:val="28"/>
          <w14:textFill>
            <w14:solidFill>
              <w14:schemeClr w14:val="tx1"/>
            </w14:solidFill>
          </w14:textFill>
        </w:rPr>
        <w:t>）</w:t>
      </w:r>
      <w:r>
        <w:rPr>
          <w:rFonts w:hint="default" w:ascii="Times New Roman" w:hAnsi="Times New Roman" w:eastAsia="宋体" w:cs="Times New Roman"/>
          <w:color w:val="000000" w:themeColor="text1"/>
          <w:sz w:val="28"/>
          <w:szCs w:val="21"/>
          <w:lang w:eastAsia="zh-CN"/>
          <w14:textFill>
            <w14:solidFill>
              <w14:schemeClr w14:val="tx1"/>
            </w14:solidFill>
          </w14:textFill>
        </w:rPr>
        <w:t>；</w:t>
      </w:r>
    </w:p>
    <w:p w14:paraId="1358FFBA">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eastAsia="宋体" w:cs="Times New Roman"/>
          <w:color w:val="000000" w:themeColor="text1"/>
          <w:sz w:val="28"/>
          <w:szCs w:val="28"/>
          <w:lang w:eastAsia="zh-CN"/>
          <w14:textFill>
            <w14:solidFill>
              <w14:schemeClr w14:val="tx1"/>
            </w14:solidFill>
          </w14:textFill>
        </w:rPr>
        <w:t>《场（厂）内专用机动车辆安全技术规程》（TSG 81</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eastAsia="zh-CN"/>
          <w14:textFill>
            <w14:solidFill>
              <w14:schemeClr w14:val="tx1"/>
            </w14:solidFill>
          </w14:textFill>
        </w:rPr>
        <w:t>2022）</w:t>
      </w:r>
    </w:p>
    <w:p w14:paraId="05EFF7CE">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1"/>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其他有关的国家标准、规范</w:t>
      </w:r>
      <w:r>
        <w:rPr>
          <w:rFonts w:hint="default" w:ascii="Times New Roman" w:hAnsi="Times New Roman" w:eastAsia="宋体" w:cs="Times New Roman"/>
          <w:color w:val="000000" w:themeColor="text1"/>
          <w:sz w:val="28"/>
          <w:szCs w:val="21"/>
          <w14:textFill>
            <w14:solidFill>
              <w14:schemeClr w14:val="tx1"/>
            </w14:solidFill>
          </w14:textFill>
        </w:rPr>
        <w:t>。</w:t>
      </w:r>
    </w:p>
    <w:p w14:paraId="1C7F1492">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53" w:name="_Toc15678"/>
      <w:bookmarkStart w:id="54" w:name="_Toc903"/>
      <w:bookmarkStart w:id="55" w:name="_Toc23753"/>
      <w:r>
        <w:rPr>
          <w:rFonts w:hint="default" w:ascii="Times New Roman" w:hAnsi="Times New Roman" w:eastAsia="黑体" w:cs="Times New Roman"/>
          <w:color w:val="000000" w:themeColor="text1"/>
          <w14:textFill>
            <w14:solidFill>
              <w14:schemeClr w14:val="tx1"/>
            </w14:solidFill>
          </w14:textFill>
        </w:rPr>
        <w:t>1.2.7</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建设项目技术资料</w:t>
      </w:r>
      <w:bookmarkEnd w:id="53"/>
      <w:bookmarkEnd w:id="54"/>
      <w:bookmarkEnd w:id="55"/>
    </w:p>
    <w:p w14:paraId="057FEE2C">
      <w:pPr>
        <w:keepNext w:val="0"/>
        <w:keepLines w:val="0"/>
        <w:pageBreakBefore w:val="0"/>
        <w:widowControl w:val="0"/>
        <w:numPr>
          <w:ilvl w:val="0"/>
          <w:numId w:val="7"/>
        </w:numPr>
        <w:kinsoku w:val="0"/>
        <w:wordWrap/>
        <w:overflowPunct/>
        <w:topLinePunct/>
        <w:autoSpaceDE/>
        <w:autoSpaceDN/>
        <w:bidi w:val="0"/>
        <w:adjustRightInd/>
        <w:snapToGrid/>
        <w:spacing w:line="520" w:lineRule="exact"/>
        <w:ind w:left="0" w:leftChars="0" w:firstLine="560" w:firstLineChars="200"/>
        <w:textAlignment w:val="auto"/>
        <w:rPr>
          <w:rFonts w:hint="default" w:ascii="Times New Roman" w:hAnsi="Times New Roman" w:eastAsia="宋体" w:cs="Times New Roman"/>
          <w:color w:val="000000" w:themeColor="text1"/>
          <w:spacing w:val="-10"/>
          <w:sz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牟定乾泰建材有限公司</w:t>
      </w:r>
      <w:r>
        <w:rPr>
          <w:rFonts w:hint="default" w:ascii="Times New Roman" w:hAnsi="Times New Roman" w:eastAsia="宋体" w:cs="Times New Roman"/>
          <w:color w:val="000000" w:themeColor="text1"/>
          <w:sz w:val="28"/>
          <w:szCs w:val="28"/>
          <w14:textFill>
            <w14:solidFill>
              <w14:schemeClr w14:val="tx1"/>
            </w14:solidFill>
          </w14:textFill>
        </w:rPr>
        <w:t>的</w:t>
      </w:r>
      <w:r>
        <w:rPr>
          <w:rFonts w:hint="default" w:ascii="Times New Roman" w:hAnsi="Times New Roman" w:eastAsia="宋体" w:cs="Times New Roman"/>
          <w:color w:val="000000" w:themeColor="text1"/>
          <w:spacing w:val="-10"/>
          <w:sz w:val="28"/>
          <w14:textFill>
            <w14:solidFill>
              <w14:schemeClr w14:val="tx1"/>
            </w14:solidFill>
          </w14:textFill>
        </w:rPr>
        <w:t>安全评价委托书；</w:t>
      </w:r>
    </w:p>
    <w:p w14:paraId="2D64C5A6">
      <w:pPr>
        <w:keepNext w:val="0"/>
        <w:keepLines w:val="0"/>
        <w:pageBreakBefore w:val="0"/>
        <w:widowControl w:val="0"/>
        <w:numPr>
          <w:ilvl w:val="0"/>
          <w:numId w:val="7"/>
        </w:numPr>
        <w:wordWrap/>
        <w:overflowPunct/>
        <w:autoSpaceDE/>
        <w:autoSpaceDN/>
        <w:bidi w:val="0"/>
        <w:adjustRightInd/>
        <w:snapToGrid/>
        <w:spacing w:line="520" w:lineRule="exact"/>
        <w:ind w:left="0" w:leftChars="0" w:firstLine="560" w:firstLineChars="200"/>
        <w:textAlignment w:val="auto"/>
        <w:rPr>
          <w:rFonts w:hint="default" w:ascii="Times New Roman" w:hAnsi="Times New Roman" w:eastAsia="宋体" w:cs="Times New Roman"/>
          <w:color w:val="000000" w:themeColor="text1"/>
          <w:sz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牟定乾泰建材有限公司</w:t>
      </w:r>
      <w:r>
        <w:rPr>
          <w:rFonts w:hint="default" w:ascii="Times New Roman" w:hAnsi="Times New Roman" w:eastAsia="宋体" w:cs="Times New Roman"/>
          <w:color w:val="000000" w:themeColor="text1"/>
          <w:sz w:val="28"/>
          <w:szCs w:val="28"/>
          <w14:textFill>
            <w14:solidFill>
              <w14:schemeClr w14:val="tx1"/>
            </w14:solidFill>
          </w14:textFill>
        </w:rPr>
        <w:t>提供的技术和管理资料</w:t>
      </w:r>
      <w:bookmarkStart w:id="56" w:name="_Toc102279997"/>
      <w:r>
        <w:rPr>
          <w:rFonts w:hint="default" w:ascii="Times New Roman" w:hAnsi="Times New Roman" w:eastAsia="宋体" w:cs="Times New Roman"/>
          <w:color w:val="000000" w:themeColor="text1"/>
          <w:sz w:val="28"/>
          <w:szCs w:val="28"/>
          <w:lang w:eastAsia="zh-CN"/>
          <w14:textFill>
            <w14:solidFill>
              <w14:schemeClr w14:val="tx1"/>
            </w14:solidFill>
          </w14:textFill>
        </w:rPr>
        <w:t>；</w:t>
      </w:r>
    </w:p>
    <w:p w14:paraId="027429A3">
      <w:pPr>
        <w:keepNext w:val="0"/>
        <w:keepLines w:val="0"/>
        <w:pageBreakBefore w:val="0"/>
        <w:widowControl w:val="0"/>
        <w:numPr>
          <w:ilvl w:val="0"/>
          <w:numId w:val="7"/>
        </w:numPr>
        <w:wordWrap/>
        <w:overflowPunct/>
        <w:autoSpaceDE/>
        <w:autoSpaceDN/>
        <w:bidi w:val="0"/>
        <w:adjustRightInd/>
        <w:snapToGrid/>
        <w:spacing w:line="520" w:lineRule="exact"/>
        <w:ind w:left="0" w:leftChars="0" w:firstLine="560" w:firstLineChars="200"/>
        <w:textAlignment w:val="auto"/>
        <w:rPr>
          <w:rFonts w:hint="default" w:ascii="Times New Roman" w:hAnsi="Times New Roman" w:eastAsia="宋体" w:cs="Times New Roman"/>
          <w:color w:val="000000" w:themeColor="text1"/>
          <w:sz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其它企业提供相关的资料</w:t>
      </w:r>
      <w:bookmarkEnd w:id="56"/>
      <w:bookmarkStart w:id="57" w:name="_Toc255568549"/>
      <w:bookmarkStart w:id="58" w:name="_Toc230711671"/>
      <w:bookmarkStart w:id="59" w:name="_Toc255571907"/>
      <w:bookmarkStart w:id="60" w:name="_Toc235953615"/>
      <w:bookmarkStart w:id="61" w:name="_Toc230712133"/>
      <w:bookmarkStart w:id="62" w:name="_Toc137691696"/>
      <w:bookmarkStart w:id="63" w:name="_Toc138472017"/>
      <w:bookmarkStart w:id="64" w:name="_Toc107981096"/>
      <w:bookmarkStart w:id="65" w:name="_Toc138301573"/>
      <w:bookmarkStart w:id="66" w:name="_Toc149127031"/>
      <w:bookmarkStart w:id="67" w:name="_Toc230711560"/>
      <w:bookmarkStart w:id="68" w:name="_Toc149082110"/>
      <w:r>
        <w:rPr>
          <w:rFonts w:hint="default" w:ascii="Times New Roman" w:hAnsi="Times New Roman" w:eastAsia="宋体" w:cs="Times New Roman"/>
          <w:color w:val="000000" w:themeColor="text1"/>
          <w:sz w:val="28"/>
          <w:szCs w:val="28"/>
          <w14:textFill>
            <w14:solidFill>
              <w14:schemeClr w14:val="tx1"/>
            </w14:solidFill>
          </w14:textFill>
        </w:rPr>
        <w:t>。</w:t>
      </w:r>
    </w:p>
    <w:bookmarkEnd w:id="57"/>
    <w:bookmarkEnd w:id="58"/>
    <w:bookmarkEnd w:id="59"/>
    <w:bookmarkEnd w:id="60"/>
    <w:bookmarkEnd w:id="61"/>
    <w:bookmarkEnd w:id="62"/>
    <w:bookmarkEnd w:id="63"/>
    <w:bookmarkEnd w:id="64"/>
    <w:bookmarkEnd w:id="65"/>
    <w:bookmarkEnd w:id="66"/>
    <w:bookmarkEnd w:id="67"/>
    <w:bookmarkEnd w:id="68"/>
    <w:p w14:paraId="604317A6">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69" w:name="_Toc313453426"/>
      <w:bookmarkStart w:id="70" w:name="_Toc335926131"/>
      <w:bookmarkStart w:id="71" w:name="_Toc19395"/>
      <w:bookmarkStart w:id="72" w:name="_Toc19274"/>
      <w:bookmarkStart w:id="73" w:name="_Toc23141"/>
      <w:r>
        <w:rPr>
          <w:rFonts w:hint="default" w:ascii="Times New Roman" w:hAnsi="Times New Roman" w:eastAsia="楷体" w:cs="Times New Roman"/>
          <w:color w:val="000000" w:themeColor="text1"/>
          <w14:textFill>
            <w14:solidFill>
              <w14:schemeClr w14:val="tx1"/>
            </w14:solidFill>
          </w14:textFill>
        </w:rPr>
        <w:t>1.3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评价对象及范围</w:t>
      </w:r>
      <w:bookmarkEnd w:id="69"/>
      <w:bookmarkEnd w:id="70"/>
      <w:bookmarkEnd w:id="71"/>
      <w:bookmarkEnd w:id="72"/>
      <w:bookmarkEnd w:id="73"/>
    </w:p>
    <w:p w14:paraId="63D2329D">
      <w:pPr>
        <w:pStyle w:val="325"/>
        <w:keepNext w:val="0"/>
        <w:keepLines w:val="0"/>
        <w:pageBreakBefore w:val="0"/>
        <w:widowControl w:val="0"/>
        <w:kinsoku/>
        <w:wordWrap/>
        <w:overflowPunct/>
        <w:topLinePunct w:val="0"/>
        <w:autoSpaceDE/>
        <w:autoSpaceDN/>
        <w:bidi w:val="0"/>
        <w:adjustRightInd/>
        <w:snapToGrid/>
        <w:spacing w:after="0" w:line="520" w:lineRule="exact"/>
        <w:ind w:right="0" w:rightChars="0" w:firstLine="560" w:firstLineChars="200"/>
        <w:jc w:val="both"/>
        <w:textAlignment w:val="baseline"/>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评价对象：</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牟定乾泰建材有限公司年产9000万块页岩多孔空心砖生产线</w:t>
      </w:r>
      <w:r>
        <w:rPr>
          <w:rFonts w:hint="eastAsia" w:cs="Times New Roman"/>
          <w:color w:val="000000" w:themeColor="text1"/>
          <w:sz w:val="28"/>
          <w:szCs w:val="28"/>
          <w:lang w:val="en-US" w:eastAsia="zh-CN"/>
          <w14:textFill>
            <w14:solidFill>
              <w14:schemeClr w14:val="tx1"/>
            </w14:solidFill>
          </w14:textFill>
        </w:rPr>
        <w:t>。</w:t>
      </w:r>
    </w:p>
    <w:p w14:paraId="0A882446">
      <w:pPr>
        <w:pStyle w:val="325"/>
        <w:keepNext w:val="0"/>
        <w:keepLines w:val="0"/>
        <w:pageBreakBefore w:val="0"/>
        <w:widowControl w:val="0"/>
        <w:kinsoku/>
        <w:wordWrap/>
        <w:overflowPunct/>
        <w:topLinePunct w:val="0"/>
        <w:autoSpaceDE/>
        <w:autoSpaceDN/>
        <w:bidi w:val="0"/>
        <w:adjustRightInd/>
        <w:snapToGrid/>
        <w:spacing w:after="0" w:line="520" w:lineRule="exact"/>
        <w:ind w:right="0" w:rightChars="0" w:firstLine="560" w:firstLineChars="200"/>
        <w:jc w:val="both"/>
        <w:textAlignment w:val="baseline"/>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本次评价的范围：牟定乾泰建材有限公司年产9000万块页岩多孔空心砖生产线技术改造项目</w:t>
      </w:r>
      <w:r>
        <w:rPr>
          <w:rFonts w:hint="default" w:ascii="Times New Roman" w:hAnsi="Times New Roman" w:cs="Times New Roman"/>
          <w:color w:val="000000" w:themeColor="text1"/>
          <w:sz w:val="28"/>
          <w:szCs w:val="28"/>
          <w14:textFill>
            <w14:solidFill>
              <w14:schemeClr w14:val="tx1"/>
            </w14:solidFill>
          </w14:textFill>
        </w:rPr>
        <w:t>的周边环境、总平面布置、生产工艺及设备设施、公用工程及安全管理等。</w:t>
      </w:r>
    </w:p>
    <w:p w14:paraId="0A3D67D4">
      <w:pPr>
        <w:pStyle w:val="28"/>
        <w:keepNext w:val="0"/>
        <w:keepLines w:val="0"/>
        <w:pageBreakBefore w:val="0"/>
        <w:widowControl w:val="0"/>
        <w:kinsoku/>
        <w:wordWrap/>
        <w:overflowPunct/>
        <w:topLinePunct w:val="0"/>
        <w:autoSpaceDE/>
        <w:autoSpaceDN/>
        <w:bidi w:val="0"/>
        <w:snapToGrid/>
        <w:spacing w:line="520" w:lineRule="exact"/>
        <w:ind w:right="0" w:rightChars="0" w:firstLine="600" w:firstLineChars="200"/>
        <w:textAlignment w:val="baseline"/>
        <w:rPr>
          <w:rFonts w:hint="default" w:ascii="Times New Roman" w:hAnsi="Times New Roman" w:eastAsia="宋体" w:cs="Times New Roman"/>
          <w:color w:val="000000" w:themeColor="text1"/>
          <w:szCs w:val="28"/>
          <w14:textFill>
            <w14:solidFill>
              <w14:schemeClr w14:val="tx1"/>
            </w14:solidFill>
          </w14:textFill>
        </w:rPr>
      </w:pPr>
      <w:bookmarkStart w:id="74" w:name="_Toc121371435"/>
      <w:bookmarkStart w:id="75" w:name="_Toc144566413"/>
      <w:bookmarkStart w:id="76" w:name="_Toc144146159"/>
      <w:r>
        <w:rPr>
          <w:rFonts w:hint="default" w:ascii="Times New Roman" w:hAnsi="Times New Roman" w:eastAsia="宋体" w:cs="Times New Roman"/>
          <w:color w:val="000000" w:themeColor="text1"/>
          <w:spacing w:val="10"/>
          <w:szCs w:val="28"/>
          <w14:textFill>
            <w14:solidFill>
              <w14:schemeClr w14:val="tx1"/>
            </w14:solidFill>
          </w14:textFill>
        </w:rPr>
        <w:t>凡涉及</w:t>
      </w:r>
      <w:r>
        <w:rPr>
          <w:rFonts w:hint="default" w:ascii="Times New Roman" w:hAnsi="Times New Roman" w:eastAsia="宋体" w:cs="Times New Roman"/>
          <w:color w:val="000000" w:themeColor="text1"/>
          <w:szCs w:val="28"/>
          <w14:textFill>
            <w14:solidFill>
              <w14:schemeClr w14:val="tx1"/>
            </w14:solidFill>
          </w14:textFill>
        </w:rPr>
        <w:t>项目的环境保护、职业卫生、消防、原辅材料和成品的厂外运输不在本次评价范围内</w:t>
      </w:r>
      <w:bookmarkEnd w:id="74"/>
      <w:bookmarkEnd w:id="75"/>
      <w:bookmarkEnd w:id="76"/>
      <w:r>
        <w:rPr>
          <w:rFonts w:hint="default" w:ascii="Times New Roman" w:hAnsi="Times New Roman" w:eastAsia="宋体" w:cs="Times New Roman"/>
          <w:color w:val="000000" w:themeColor="text1"/>
          <w:szCs w:val="28"/>
          <w14:textFill>
            <w14:solidFill>
              <w14:schemeClr w14:val="tx1"/>
            </w14:solidFill>
          </w14:textFill>
        </w:rPr>
        <w:t>，</w:t>
      </w:r>
      <w:r>
        <w:rPr>
          <w:rFonts w:hint="default" w:ascii="Times New Roman" w:hAnsi="Times New Roman" w:eastAsia="宋体" w:cs="Times New Roman"/>
          <w:color w:val="000000" w:themeColor="text1"/>
          <w:spacing w:val="10"/>
          <w:szCs w:val="28"/>
          <w14:textFill>
            <w14:solidFill>
              <w14:schemeClr w14:val="tx1"/>
            </w14:solidFill>
          </w14:textFill>
        </w:rPr>
        <w:t>但在评价过程中会有所提及。</w:t>
      </w:r>
      <w:r>
        <w:rPr>
          <w:rFonts w:hint="default" w:ascii="Times New Roman" w:hAnsi="Times New Roman" w:eastAsia="宋体" w:cs="Times New Roman"/>
          <w:color w:val="000000" w:themeColor="text1"/>
          <w:szCs w:val="28"/>
          <w14:textFill>
            <w14:solidFill>
              <w14:schemeClr w14:val="tx1"/>
            </w14:solidFill>
          </w14:textFill>
        </w:rPr>
        <w:t>有关这些方面的问题，企业在建设和生产过程中应严格执行国家相关法律、法规、标准和规范要求。</w:t>
      </w:r>
    </w:p>
    <w:p w14:paraId="65AD5661">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77" w:name="_Toc30838"/>
      <w:bookmarkStart w:id="78" w:name="_Toc313453427"/>
      <w:bookmarkStart w:id="79" w:name="_Toc19134"/>
      <w:bookmarkStart w:id="80" w:name="_Toc335926132"/>
      <w:bookmarkStart w:id="81" w:name="_Toc2846"/>
      <w:r>
        <w:rPr>
          <w:rFonts w:hint="default" w:ascii="Times New Roman" w:hAnsi="Times New Roman" w:eastAsia="楷体" w:cs="Times New Roman"/>
          <w:color w:val="000000" w:themeColor="text1"/>
          <w14:textFill>
            <w14:solidFill>
              <w14:schemeClr w14:val="tx1"/>
            </w14:solidFill>
          </w14:textFill>
        </w:rPr>
        <w:t>1.4</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评价原则</w:t>
      </w:r>
      <w:bookmarkEnd w:id="77"/>
      <w:bookmarkEnd w:id="78"/>
      <w:bookmarkEnd w:id="79"/>
      <w:bookmarkEnd w:id="80"/>
      <w:bookmarkEnd w:id="81"/>
    </w:p>
    <w:p w14:paraId="541071D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14:textFill>
            <w14:solidFill>
              <w14:schemeClr w14:val="tx1"/>
            </w14:solidFill>
          </w14:textFill>
        </w:rPr>
      </w:pPr>
      <w:bookmarkStart w:id="82" w:name="_Toc105675957"/>
      <w:bookmarkStart w:id="83" w:name="_Toc105675477"/>
      <w:bookmarkStart w:id="84" w:name="_Toc105730322"/>
      <w:bookmarkStart w:id="85" w:name="_Toc105674759"/>
      <w:bookmarkStart w:id="86" w:name="_Toc335926133"/>
      <w:bookmarkStart w:id="87" w:name="_Toc313453428"/>
      <w:bookmarkStart w:id="88" w:name="_Toc28236"/>
      <w:r>
        <w:rPr>
          <w:rFonts w:hint="default" w:ascii="Times New Roman" w:hAnsi="Times New Roman" w:cs="Times New Roman"/>
          <w:color w:val="000000" w:themeColor="text1"/>
          <w:sz w:val="28"/>
          <w14:textFill>
            <w14:solidFill>
              <w14:schemeClr w14:val="tx1"/>
            </w14:solidFill>
          </w14:textFill>
        </w:rPr>
        <w:t>昭通市鼎安科技有限公司在对该项目进行安全现状评价工作中，始终坚持以下原则：</w:t>
      </w:r>
    </w:p>
    <w:p w14:paraId="302AAFD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1.严格执行国家现行有关法律法规、标准、规章和规范的要求，对该企业进行科学、客观、公正、独立的安全评价；</w:t>
      </w:r>
    </w:p>
    <w:p w14:paraId="58C0FD7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2.采用可靠、适用的评价技术和评价方法对项目进行定性、定量评价，遵循针对性、技术可行性、经济合理性、可操作性的原则，提出消除或减弱危险、有害因素的技术和管理对策措施建议；</w:t>
      </w:r>
    </w:p>
    <w:p w14:paraId="0ABBF0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3.真实、准确地做出评价结论，并对在当时条件下做出的安全评价结果承担法律责任；</w:t>
      </w:r>
    </w:p>
    <w:p w14:paraId="5B4D99F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4.遵纪守法、恪守职业道德、诚实守信，对被评价对象的技术和商业秘密保密。</w:t>
      </w:r>
      <w:bookmarkEnd w:id="82"/>
      <w:bookmarkEnd w:id="83"/>
      <w:bookmarkEnd w:id="84"/>
      <w:bookmarkEnd w:id="85"/>
    </w:p>
    <w:p w14:paraId="14196FF3">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89" w:name="_Toc18506"/>
      <w:bookmarkStart w:id="90" w:name="_Toc11236"/>
      <w:r>
        <w:rPr>
          <w:rFonts w:hint="default" w:ascii="Times New Roman" w:hAnsi="Times New Roman" w:eastAsia="楷体" w:cs="Times New Roman"/>
          <w:color w:val="000000" w:themeColor="text1"/>
          <w14:textFill>
            <w14:solidFill>
              <w14:schemeClr w14:val="tx1"/>
            </w14:solidFill>
          </w14:textFill>
        </w:rPr>
        <w:t>1.5</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评价程序</w:t>
      </w:r>
      <w:bookmarkEnd w:id="86"/>
      <w:bookmarkEnd w:id="87"/>
      <w:bookmarkEnd w:id="88"/>
      <w:bookmarkEnd w:id="89"/>
      <w:bookmarkEnd w:id="90"/>
    </w:p>
    <w:p w14:paraId="6CCDC983">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bookmarkStart w:id="91" w:name="_Toc313453429"/>
      <w:r>
        <w:rPr>
          <w:rFonts w:hint="default" w:ascii="Times New Roman" w:hAnsi="Times New Roman" w:eastAsia="宋体" w:cs="Times New Roman"/>
          <w:color w:val="000000" w:themeColor="text1"/>
          <w:sz w:val="28"/>
          <w:szCs w:val="28"/>
          <w14:textFill>
            <w14:solidFill>
              <w14:schemeClr w14:val="tx1"/>
            </w14:solidFill>
          </w14:textFill>
        </w:rPr>
        <w:t>本项目安全现状评价工作程序如图1-1所示。评价工作分为三个阶段：</w:t>
      </w:r>
    </w:p>
    <w:p w14:paraId="6B906F69">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第一阶段为准备阶段，主要收集有关资料，进行初步的危险、危害因素识别，选择评价方法，编制评价大纲；</w:t>
      </w:r>
    </w:p>
    <w:p w14:paraId="0D240BF0">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第二阶段为实施评价阶段，对工程安全情况进行类比调查，运用合适的评价方法进行定性及定量分析，提出安全对策措施；</w:t>
      </w:r>
    </w:p>
    <w:p w14:paraId="2708F2B4">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第三阶段为安全评价报告的编制阶段，主要是汇总第二阶段所得到的各种资料、数据，综合分析提出结论与建议，完成本项目安全现状评价报告的编制。</w:t>
      </w:r>
    </w:p>
    <w:p w14:paraId="743EB0D8">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安全评价的程序见下图所示：</w:t>
      </w:r>
    </w:p>
    <w:p w14:paraId="0D566551">
      <w:pPr>
        <w:spacing w:line="360" w:lineRule="auto"/>
        <w:jc w:val="center"/>
        <w:rPr>
          <w:rFonts w:ascii="Times New Roman"/>
          <w:color w:val="000000" w:themeColor="text1"/>
          <w:szCs w:val="28"/>
          <w:lang w:val="zh-CN"/>
          <w14:textFill>
            <w14:solidFill>
              <w14:schemeClr w14:val="tx1"/>
            </w14:solidFill>
          </w14:textFill>
        </w:rPr>
      </w:pPr>
      <w:r>
        <w:rPr>
          <w:rFonts w:ascii="Times New Roman"/>
          <w:color w:val="000000" w:themeColor="text1"/>
          <w:szCs w:val="28"/>
          <w:lang w:val="zh-CN"/>
          <w14:textFill>
            <w14:solidFill>
              <w14:schemeClr w14:val="tx1"/>
            </w14:solidFill>
          </w14:textFill>
        </w:rPr>
        <w:object>
          <v:shape id="_x0000_i1025" o:spt="75" type="#_x0000_t75" style="height:264.75pt;width:151.5pt;" o:ole="t" filled="f" o:preferrelative="t" stroked="f" coordsize="21600,21600">
            <v:path/>
            <v:fill on="f" focussize="0,0"/>
            <v:stroke on="f" joinstyle="miter"/>
            <v:imagedata r:id="rId11" cropleft="22079f" cropright="19837f" o:title=""/>
            <o:lock v:ext="edit" aspectratio="t"/>
            <w10:wrap type="none"/>
            <w10:anchorlock/>
          </v:shape>
          <o:OLEObject Type="Embed" ProgID="AutoCAD.Drawing.16" ShapeID="_x0000_i1025" DrawAspect="Content" ObjectID="_1468075725" r:id="rId10">
            <o:LockedField>false</o:LockedField>
          </o:OLEObject>
        </w:object>
      </w:r>
    </w:p>
    <w:p w14:paraId="0089CB01">
      <w:pPr>
        <w:spacing w:line="360" w:lineRule="auto"/>
        <w:jc w:val="center"/>
        <w:rPr>
          <w:rFonts w:ascii="Times New Roman"/>
          <w:b/>
          <w:bCs/>
          <w:color w:val="000000" w:themeColor="text1"/>
          <w14:textFill>
            <w14:solidFill>
              <w14:schemeClr w14:val="tx1"/>
            </w14:solidFill>
          </w14:textFill>
        </w:rPr>
      </w:pPr>
      <w:r>
        <w:rPr>
          <w:rFonts w:ascii="Times New Roman"/>
          <w:b/>
          <w:bCs/>
          <w:color w:val="000000" w:themeColor="text1"/>
          <w14:textFill>
            <w14:solidFill>
              <w14:schemeClr w14:val="tx1"/>
            </w14:solidFill>
          </w14:textFill>
        </w:rPr>
        <w:t>图1-1  安全现状评价程序图</w:t>
      </w:r>
    </w:p>
    <w:p w14:paraId="16F217CD">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92" w:name="_Toc24110"/>
      <w:bookmarkStart w:id="93" w:name="_Toc26128"/>
      <w:bookmarkStart w:id="94" w:name="_Toc335926134"/>
      <w:bookmarkStart w:id="95" w:name="_Toc32446"/>
      <w:r>
        <w:rPr>
          <w:rFonts w:hint="default" w:ascii="Times New Roman" w:hAnsi="Times New Roman" w:eastAsia="楷体" w:cs="Times New Roman"/>
          <w:color w:val="000000" w:themeColor="text1"/>
          <w14:textFill>
            <w14:solidFill>
              <w14:schemeClr w14:val="tx1"/>
            </w14:solidFill>
          </w14:textFill>
        </w:rPr>
        <w:t>1.6</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评价基准日</w:t>
      </w:r>
      <w:bookmarkEnd w:id="91"/>
      <w:bookmarkEnd w:id="92"/>
      <w:bookmarkEnd w:id="93"/>
      <w:bookmarkEnd w:id="94"/>
      <w:bookmarkEnd w:id="95"/>
    </w:p>
    <w:p w14:paraId="04E1C5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评价人员于202</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14:textFill>
            <w14:solidFill>
              <w14:schemeClr w14:val="tx1"/>
            </w14:solidFill>
          </w14:textFill>
        </w:rPr>
        <w:t>年</w:t>
      </w:r>
      <w:r>
        <w:rPr>
          <w:rFonts w:hint="eastAsia" w:ascii="宋体" w:hAnsi="宋体" w:eastAsia="宋体" w:cs="宋体"/>
          <w:color w:val="000000" w:themeColor="text1"/>
          <w:sz w:val="28"/>
          <w:lang w:val="en-US" w:eastAsia="zh-CN"/>
          <w14:textFill>
            <w14:solidFill>
              <w14:schemeClr w14:val="tx1"/>
            </w14:solidFill>
          </w14:textFill>
        </w:rPr>
        <w:t>8</w:t>
      </w:r>
      <w:r>
        <w:rPr>
          <w:rFonts w:hint="eastAsia" w:ascii="宋体" w:hAnsi="宋体" w:eastAsia="宋体" w:cs="宋体"/>
          <w:color w:val="000000" w:themeColor="text1"/>
          <w:sz w:val="28"/>
          <w14:textFill>
            <w14:solidFill>
              <w14:schemeClr w14:val="tx1"/>
            </w14:solidFill>
          </w14:textFill>
        </w:rPr>
        <w:t>月</w:t>
      </w:r>
      <w:r>
        <w:rPr>
          <w:rFonts w:hint="eastAsia" w:ascii="宋体" w:hAnsi="宋体" w:eastAsia="宋体" w:cs="宋体"/>
          <w:color w:val="000000" w:themeColor="text1"/>
          <w:sz w:val="28"/>
          <w:lang w:val="en-US" w:eastAsia="zh-CN"/>
          <w14:textFill>
            <w14:solidFill>
              <w14:schemeClr w14:val="tx1"/>
            </w14:solidFill>
          </w14:textFill>
        </w:rPr>
        <w:t>28</w:t>
      </w:r>
      <w:r>
        <w:rPr>
          <w:rFonts w:hint="eastAsia" w:ascii="宋体" w:hAnsi="宋体" w:eastAsia="宋体" w:cs="宋体"/>
          <w:color w:val="000000" w:themeColor="text1"/>
          <w:sz w:val="28"/>
          <w14:textFill>
            <w14:solidFill>
              <w14:schemeClr w14:val="tx1"/>
            </w14:solidFill>
          </w14:textFill>
        </w:rPr>
        <w:t>日对牟定乾泰建材有限公司年产9000万块页岩多孔空心砖生产线技术改造项目进行了初次现场检查，于202</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14:textFill>
            <w14:solidFill>
              <w14:schemeClr w14:val="tx1"/>
            </w14:solidFill>
          </w14:textFill>
        </w:rPr>
        <w:t>年</w:t>
      </w:r>
      <w:r>
        <w:rPr>
          <w:rFonts w:hint="eastAsia" w:ascii="宋体" w:hAnsi="宋体" w:eastAsia="宋体" w:cs="宋体"/>
          <w:color w:val="000000" w:themeColor="text1"/>
          <w:sz w:val="28"/>
          <w:lang w:val="en-US" w:eastAsia="zh-CN"/>
          <w14:textFill>
            <w14:solidFill>
              <w14:schemeClr w14:val="tx1"/>
            </w14:solidFill>
          </w14:textFill>
        </w:rPr>
        <w:t>10</w:t>
      </w:r>
      <w:r>
        <w:rPr>
          <w:rFonts w:hint="eastAsia" w:ascii="宋体" w:hAnsi="宋体" w:eastAsia="宋体" w:cs="宋体"/>
          <w:color w:val="000000" w:themeColor="text1"/>
          <w:sz w:val="28"/>
          <w14:textFill>
            <w14:solidFill>
              <w14:schemeClr w14:val="tx1"/>
            </w14:solidFill>
          </w14:textFill>
        </w:rPr>
        <w:t>月</w:t>
      </w:r>
      <w:r>
        <w:rPr>
          <w:rFonts w:hint="eastAsia" w:hAnsi="宋体" w:cs="宋体"/>
          <w:color w:val="000000" w:themeColor="text1"/>
          <w:sz w:val="28"/>
          <w:lang w:val="en-US" w:eastAsia="zh-CN"/>
          <w14:textFill>
            <w14:solidFill>
              <w14:schemeClr w14:val="tx1"/>
            </w14:solidFill>
          </w14:textFill>
        </w:rPr>
        <w:t>10</w:t>
      </w:r>
      <w:r>
        <w:rPr>
          <w:rFonts w:hint="eastAsia" w:ascii="宋体" w:hAnsi="宋体" w:eastAsia="宋体" w:cs="宋体"/>
          <w:color w:val="000000" w:themeColor="text1"/>
          <w:sz w:val="28"/>
          <w14:textFill>
            <w14:solidFill>
              <w14:schemeClr w14:val="tx1"/>
            </w14:solidFill>
          </w14:textFill>
        </w:rPr>
        <w:t>日对现场隐患进行复核，</w:t>
      </w:r>
      <w:r>
        <w:rPr>
          <w:rFonts w:hint="eastAsia" w:ascii="宋体" w:hAnsi="宋体" w:eastAsia="宋体" w:cs="宋体"/>
          <w:color w:val="000000" w:themeColor="text1"/>
          <w:sz w:val="28"/>
          <w:lang w:val="en-US" w:eastAsia="zh-CN"/>
          <w14:textFill>
            <w14:solidFill>
              <w14:schemeClr w14:val="tx1"/>
            </w14:solidFill>
          </w14:textFill>
        </w:rPr>
        <w:t>故该</w:t>
      </w:r>
      <w:r>
        <w:rPr>
          <w:rFonts w:hint="eastAsia" w:ascii="宋体" w:hAnsi="宋体" w:eastAsia="宋体" w:cs="宋体"/>
          <w:color w:val="000000" w:themeColor="text1"/>
          <w:sz w:val="28"/>
          <w14:textFill>
            <w14:solidFill>
              <w14:schemeClr w14:val="tx1"/>
            </w14:solidFill>
          </w14:textFill>
        </w:rPr>
        <w:t>项目评价基准日为202</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14:textFill>
            <w14:solidFill>
              <w14:schemeClr w14:val="tx1"/>
            </w14:solidFill>
          </w14:textFill>
        </w:rPr>
        <w:t>年</w:t>
      </w:r>
      <w:r>
        <w:rPr>
          <w:rFonts w:hint="eastAsia" w:ascii="宋体" w:hAnsi="宋体" w:eastAsia="宋体" w:cs="宋体"/>
          <w:color w:val="000000" w:themeColor="text1"/>
          <w:sz w:val="28"/>
          <w:lang w:val="en-US" w:eastAsia="zh-CN"/>
          <w14:textFill>
            <w14:solidFill>
              <w14:schemeClr w14:val="tx1"/>
            </w14:solidFill>
          </w14:textFill>
        </w:rPr>
        <w:t>10</w:t>
      </w:r>
      <w:r>
        <w:rPr>
          <w:rFonts w:hint="eastAsia" w:ascii="宋体" w:hAnsi="宋体" w:eastAsia="宋体" w:cs="宋体"/>
          <w:color w:val="000000" w:themeColor="text1"/>
          <w:sz w:val="28"/>
          <w14:textFill>
            <w14:solidFill>
              <w14:schemeClr w14:val="tx1"/>
            </w14:solidFill>
          </w14:textFill>
        </w:rPr>
        <w:t>月</w:t>
      </w:r>
      <w:r>
        <w:rPr>
          <w:rFonts w:hint="eastAsia" w:hAnsi="宋体" w:cs="宋体"/>
          <w:color w:val="000000" w:themeColor="text1"/>
          <w:sz w:val="28"/>
          <w:lang w:val="en-US" w:eastAsia="zh-CN"/>
          <w14:textFill>
            <w14:solidFill>
              <w14:schemeClr w14:val="tx1"/>
            </w14:solidFill>
          </w14:textFill>
        </w:rPr>
        <w:t>10</w:t>
      </w:r>
      <w:r>
        <w:rPr>
          <w:rFonts w:hint="eastAsia" w:ascii="宋体" w:hAnsi="宋体" w:eastAsia="宋体" w:cs="宋体"/>
          <w:color w:val="000000" w:themeColor="text1"/>
          <w:sz w:val="28"/>
          <w14:textFill>
            <w14:solidFill>
              <w14:schemeClr w14:val="tx1"/>
            </w14:solidFill>
          </w14:textFill>
        </w:rPr>
        <w:t>日。</w:t>
      </w:r>
    </w:p>
    <w:p w14:paraId="1C02EC9F">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96" w:name="_Toc335926135"/>
      <w:bookmarkStart w:id="97" w:name="_Toc313453430"/>
      <w:bookmarkStart w:id="98" w:name="_Toc19366"/>
      <w:bookmarkStart w:id="99" w:name="_Toc9643"/>
      <w:bookmarkStart w:id="100" w:name="_Toc16706"/>
      <w:r>
        <w:rPr>
          <w:rFonts w:hint="default" w:ascii="Times New Roman" w:hAnsi="Times New Roman" w:eastAsia="楷体" w:cs="Times New Roman"/>
          <w:color w:val="000000" w:themeColor="text1"/>
          <w14:textFill>
            <w14:solidFill>
              <w14:schemeClr w14:val="tx1"/>
            </w14:solidFill>
          </w14:textFill>
        </w:rPr>
        <w:t>1.7</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评价报告使用权声明</w:t>
      </w:r>
      <w:bookmarkEnd w:id="96"/>
      <w:bookmarkEnd w:id="97"/>
      <w:bookmarkEnd w:id="98"/>
      <w:bookmarkEnd w:id="99"/>
      <w:bookmarkEnd w:id="100"/>
    </w:p>
    <w:p w14:paraId="23E7B2D9">
      <w:pPr>
        <w:pageBreakBefore w:val="0"/>
        <w:widowControl w:val="0"/>
        <w:kinsoku/>
        <w:wordWrap/>
        <w:overflowPunct/>
        <w:topLinePunct w:val="0"/>
        <w:autoSpaceDE/>
        <w:autoSpaceDN/>
        <w:bidi w:val="0"/>
        <w:adjustRightInd w:val="0"/>
        <w:snapToGrid w:val="0"/>
        <w:spacing w:line="520" w:lineRule="exact"/>
        <w:ind w:right="-101" w:rightChars="-42" w:firstLine="560" w:firstLineChars="200"/>
        <w:jc w:val="both"/>
        <w:textAlignment w:val="auto"/>
        <w:outlineLvl w:val="9"/>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评价报告是受</w:t>
      </w:r>
      <w:r>
        <w:rPr>
          <w:rFonts w:hint="default" w:ascii="Times New Roman" w:hAnsi="Times New Roman" w:eastAsia="宋体" w:cs="Times New Roman"/>
          <w:color w:val="000000" w:themeColor="text1"/>
          <w:sz w:val="28"/>
          <w:szCs w:val="28"/>
          <w14:textFill>
            <w14:solidFill>
              <w14:schemeClr w14:val="tx1"/>
            </w14:solidFill>
          </w14:textFill>
        </w:rPr>
        <w:t>牟定乾泰建材有限公司</w:t>
      </w:r>
      <w:r>
        <w:rPr>
          <w:rFonts w:hint="default" w:ascii="Times New Roman" w:hAnsi="Times New Roman" w:cs="Times New Roman"/>
          <w:color w:val="000000" w:themeColor="text1"/>
          <w:sz w:val="28"/>
          <w:szCs w:val="28"/>
          <w14:textFill>
            <w14:solidFill>
              <w14:schemeClr w14:val="tx1"/>
            </w14:solidFill>
          </w14:textFill>
        </w:rPr>
        <w:t>委托而编制的，专属委托方使用。除按规定上报各级应急管理部门外，</w:t>
      </w:r>
      <w:r>
        <w:rPr>
          <w:rFonts w:hint="eastAsia" w:ascii="Times New Roman" w:hAnsi="Times New Roman" w:cs="Times New Roman"/>
          <w:color w:val="000000" w:themeColor="text1"/>
          <w:sz w:val="28"/>
          <w:szCs w:val="28"/>
          <w:lang w:val="en-US" w:eastAsia="zh-CN"/>
          <w14:textFill>
            <w14:solidFill>
              <w14:schemeClr w14:val="tx1"/>
            </w14:solidFill>
          </w14:textFill>
        </w:rPr>
        <w:t>昭通市鼎安科技有限公司</w:t>
      </w:r>
      <w:r>
        <w:rPr>
          <w:rFonts w:hint="default" w:ascii="Times New Roman" w:hAnsi="Times New Roman" w:cs="Times New Roman"/>
          <w:color w:val="000000" w:themeColor="text1"/>
          <w:sz w:val="28"/>
          <w:szCs w:val="28"/>
          <w14:textFill>
            <w14:solidFill>
              <w14:schemeClr w14:val="tx1"/>
            </w14:solidFill>
          </w14:textFill>
        </w:rPr>
        <w:t>不会将本评价报告内容向其它任何单位和个人提供，也不会将本评价报告的全部或部份内容，在媒体上或以其它形式公开发表（安全评价技术研究成果除外）。</w:t>
      </w:r>
    </w:p>
    <w:p w14:paraId="6E46F471">
      <w:pPr>
        <w:pageBreakBefore w:val="0"/>
        <w:widowControl w:val="0"/>
        <w:kinsoku/>
        <w:wordWrap/>
        <w:overflowPunct/>
        <w:topLinePunct w:val="0"/>
        <w:autoSpaceDE/>
        <w:autoSpaceDN/>
        <w:bidi w:val="0"/>
        <w:snapToGrid w:val="0"/>
        <w:spacing w:beforeLines="0" w:afterLines="0"/>
        <w:ind w:firstLine="560" w:firstLineChars="200"/>
        <w:jc w:val="both"/>
        <w:textAlignment w:val="auto"/>
        <w:outlineLvl w:val="9"/>
        <w:rPr>
          <w:rFonts w:hint="default" w:ascii="Times New Roman" w:hAnsi="Times New Roman" w:eastAsia="宋体" w:cs="Times New Roman"/>
          <w:color w:val="000000" w:themeColor="text1"/>
          <w:sz w:val="28"/>
          <w:szCs w:val="28"/>
          <w14:textFill>
            <w14:solidFill>
              <w14:schemeClr w14:val="tx1"/>
            </w14:solidFill>
          </w14:textFill>
        </w:rPr>
        <w:sectPr>
          <w:footerReference r:id="rId6" w:type="default"/>
          <w:pgSz w:w="11906" w:h="16838"/>
          <w:pgMar w:top="1587" w:right="1701" w:bottom="1701" w:left="1701" w:header="851" w:footer="992" w:gutter="0"/>
          <w:pgBorders>
            <w:top w:val="none" w:sz="0" w:space="0"/>
            <w:left w:val="none" w:sz="0" w:space="0"/>
            <w:bottom w:val="none" w:sz="0" w:space="0"/>
            <w:right w:val="none" w:sz="0" w:space="0"/>
          </w:pgBorders>
          <w:pgNumType w:fmt="decimal" w:start="1"/>
          <w:cols w:space="720" w:num="1"/>
          <w:docGrid w:type="lines" w:linePitch="330" w:charSpace="0"/>
        </w:sectPr>
      </w:pPr>
    </w:p>
    <w:p w14:paraId="5B30AD5A">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default" w:ascii="Times New Roman" w:hAnsi="Times New Roman" w:eastAsia="黑体" w:cs="Times New Roman"/>
          <w:color w:val="000000" w:themeColor="text1"/>
          <w14:textFill>
            <w14:solidFill>
              <w14:schemeClr w14:val="tx1"/>
            </w14:solidFill>
          </w14:textFill>
        </w:rPr>
      </w:pPr>
      <w:bookmarkStart w:id="101" w:name="_Toc335926136"/>
      <w:bookmarkStart w:id="102" w:name="_Toc209840617"/>
      <w:bookmarkStart w:id="103" w:name="_Toc19228"/>
      <w:bookmarkStart w:id="104" w:name="_Toc6063"/>
      <w:bookmarkStart w:id="105" w:name="_Toc21878"/>
      <w:bookmarkStart w:id="106" w:name="_Toc172174191"/>
      <w:bookmarkStart w:id="107" w:name="_Toc313453431"/>
      <w:r>
        <w:rPr>
          <w:rFonts w:hint="default" w:ascii="Times New Roman" w:hAnsi="Times New Roman" w:eastAsia="黑体" w:cs="Times New Roman"/>
          <w:color w:val="000000" w:themeColor="text1"/>
          <w14:textFill>
            <w14:solidFill>
              <w14:schemeClr w14:val="tx1"/>
            </w14:solidFill>
          </w14:textFill>
        </w:rPr>
        <w:t>第2章 企业及项目概况</w:t>
      </w:r>
      <w:bookmarkEnd w:id="101"/>
      <w:bookmarkEnd w:id="102"/>
      <w:bookmarkEnd w:id="103"/>
      <w:bookmarkEnd w:id="104"/>
      <w:bookmarkEnd w:id="105"/>
      <w:bookmarkEnd w:id="106"/>
      <w:bookmarkEnd w:id="107"/>
    </w:p>
    <w:p w14:paraId="3DD14FA1">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bookmarkStart w:id="108" w:name="_Toc21222"/>
      <w:bookmarkStart w:id="109" w:name="_Toc313453432"/>
      <w:bookmarkStart w:id="110" w:name="_Toc172174192"/>
      <w:bookmarkStart w:id="111" w:name="_Toc335926137"/>
      <w:bookmarkStart w:id="112" w:name="_Toc209840618"/>
      <w:bookmarkStart w:id="113" w:name="_Toc29053"/>
      <w:bookmarkStart w:id="114" w:name="_Toc3599"/>
      <w:r>
        <w:rPr>
          <w:rFonts w:hint="default" w:ascii="Times New Roman" w:hAnsi="Times New Roman" w:eastAsia="楷体" w:cs="Times New Roman"/>
          <w:color w:val="000000" w:themeColor="text1"/>
          <w14:textFill>
            <w14:solidFill>
              <w14:schemeClr w14:val="tx1"/>
            </w14:solidFill>
          </w14:textFill>
        </w:rPr>
        <w:t>2.1</w:t>
      </w:r>
      <w:bookmarkEnd w:id="108"/>
      <w:bookmarkEnd w:id="109"/>
      <w:bookmarkEnd w:id="110"/>
      <w:bookmarkEnd w:id="111"/>
      <w:bookmarkEnd w:id="112"/>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企业</w:t>
      </w:r>
      <w:bookmarkEnd w:id="113"/>
      <w:r>
        <w:rPr>
          <w:rFonts w:hint="eastAsia" w:ascii="Times New Roman" w:hAnsi="Times New Roman" w:cs="Times New Roman"/>
          <w:color w:val="000000" w:themeColor="text1"/>
          <w:lang w:val="en-US" w:eastAsia="zh-CN"/>
          <w14:textFill>
            <w14:solidFill>
              <w14:schemeClr w14:val="tx1"/>
            </w14:solidFill>
          </w14:textFill>
        </w:rPr>
        <w:t>概况</w:t>
      </w:r>
      <w:bookmarkEnd w:id="114"/>
      <w:bookmarkStart w:id="115" w:name="_Toc278151340"/>
      <w:bookmarkStart w:id="116" w:name="_Toc327017732"/>
      <w:bookmarkStart w:id="117" w:name="_Toc16953"/>
      <w:bookmarkStart w:id="118" w:name="_Toc335926138"/>
      <w:bookmarkStart w:id="119" w:name="_Toc309682398"/>
      <w:bookmarkStart w:id="120" w:name="_Toc313453446"/>
    </w:p>
    <w:p w14:paraId="5AB86986">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企业名称：</w:t>
      </w:r>
      <w:r>
        <w:rPr>
          <w:rFonts w:hint="eastAsia" w:ascii="宋体" w:hAnsi="宋体" w:eastAsia="宋体" w:cs="宋体"/>
          <w:color w:val="000000" w:themeColor="text1"/>
          <w:sz w:val="28"/>
          <w:szCs w:val="28"/>
          <w14:textFill>
            <w14:solidFill>
              <w14:schemeClr w14:val="tx1"/>
            </w14:solidFill>
          </w14:textFill>
        </w:rPr>
        <w:t>牟定乾泰建材有限公司</w:t>
      </w:r>
    </w:p>
    <w:p w14:paraId="2CCEA795">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社会信用代码：915323232175013754</w:t>
      </w:r>
    </w:p>
    <w:p w14:paraId="014F944A">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法定代表人：覃忠明</w:t>
      </w:r>
    </w:p>
    <w:p w14:paraId="49091D16">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注册资本：叁佰伍拾万元整</w:t>
      </w:r>
    </w:p>
    <w:p w14:paraId="65B59503">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成立日期：2003年05月06日</w:t>
      </w:r>
    </w:p>
    <w:p w14:paraId="47E0E9D9">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营业期限：2003年05月06日  至2033年05月06日</w:t>
      </w:r>
    </w:p>
    <w:p w14:paraId="6552B976">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类    型：有限责任公司（自然人独资）</w:t>
      </w:r>
    </w:p>
    <w:p w14:paraId="702AF1FF">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住所：云南省楚雄彝族自治州</w:t>
      </w:r>
      <w:r>
        <w:rPr>
          <w:rFonts w:hint="eastAsia" w:ascii="宋体" w:hAnsi="宋体" w:eastAsia="宋体" w:cs="宋体"/>
          <w:color w:val="000000" w:themeColor="text1"/>
          <w:sz w:val="28"/>
          <w:szCs w:val="28"/>
          <w14:textFill>
            <w14:solidFill>
              <w14:schemeClr w14:val="tx1"/>
            </w14:solidFill>
          </w14:textFill>
        </w:rPr>
        <w:t>牟定县共和镇龙马池村</w:t>
      </w:r>
      <w:r>
        <w:rPr>
          <w:rFonts w:hint="eastAsia" w:ascii="宋体" w:hAnsi="宋体" w:eastAsia="宋体" w:cs="宋体"/>
          <w:color w:val="000000" w:themeColor="text1"/>
          <w:sz w:val="28"/>
          <w:szCs w:val="28"/>
          <w:lang w:val="en-US" w:eastAsia="zh-CN"/>
          <w14:textFill>
            <w14:solidFill>
              <w14:schemeClr w14:val="tx1"/>
            </w14:solidFill>
          </w14:textFill>
        </w:rPr>
        <w:t>委会龙马池</w:t>
      </w:r>
    </w:p>
    <w:p w14:paraId="495EBB92">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经营范围：机制红砖、页岩空心砖制造；机制红砖、页岩空心砖建筑材料销售（依法须经批准的项目，经相关部门批准后方可开展经营活动）。</w:t>
      </w:r>
    </w:p>
    <w:bookmarkEnd w:id="115"/>
    <w:bookmarkEnd w:id="116"/>
    <w:bookmarkEnd w:id="117"/>
    <w:bookmarkEnd w:id="118"/>
    <w:bookmarkEnd w:id="119"/>
    <w:p w14:paraId="64715DE7">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121" w:name="_Toc19325"/>
      <w:bookmarkStart w:id="122" w:name="_Toc11076"/>
      <w:bookmarkStart w:id="123" w:name="_Toc23292"/>
      <w:r>
        <w:rPr>
          <w:rFonts w:hint="default" w:ascii="Times New Roman" w:hAnsi="Times New Roman" w:eastAsia="楷体" w:cs="Times New Roman"/>
          <w:color w:val="000000" w:themeColor="text1"/>
          <w14:textFill>
            <w14:solidFill>
              <w14:schemeClr w14:val="tx1"/>
            </w14:solidFill>
          </w14:textFill>
        </w:rPr>
        <w:t>2.2</w:t>
      </w:r>
      <w:bookmarkEnd w:id="121"/>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项目概况</w:t>
      </w:r>
      <w:bookmarkEnd w:id="122"/>
      <w:bookmarkEnd w:id="123"/>
    </w:p>
    <w:p w14:paraId="00950111">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24" w:name="_Toc61474369"/>
      <w:bookmarkStart w:id="125" w:name="_Toc30001346"/>
      <w:bookmarkStart w:id="126" w:name="_Toc14249"/>
      <w:bookmarkStart w:id="127" w:name="_Toc28479"/>
      <w:bookmarkStart w:id="128" w:name="_Toc15217"/>
      <w:bookmarkStart w:id="129" w:name="_Toc1823"/>
      <w:bookmarkStart w:id="130" w:name="_Toc25048"/>
      <w:r>
        <w:rPr>
          <w:rFonts w:hint="default" w:ascii="Times New Roman" w:hAnsi="Times New Roman" w:eastAsia="黑体" w:cs="Times New Roman"/>
          <w:color w:val="000000" w:themeColor="text1"/>
          <w14:textFill>
            <w14:solidFill>
              <w14:schemeClr w14:val="tx1"/>
            </w14:solidFill>
          </w14:textFill>
        </w:rPr>
        <w:t>2.2.1项目</w:t>
      </w:r>
      <w:bookmarkEnd w:id="124"/>
      <w:bookmarkEnd w:id="125"/>
      <w:r>
        <w:rPr>
          <w:rFonts w:hint="default" w:ascii="Times New Roman" w:hAnsi="Times New Roman" w:eastAsia="黑体" w:cs="Times New Roman"/>
          <w:color w:val="000000" w:themeColor="text1"/>
          <w14:textFill>
            <w14:solidFill>
              <w14:schemeClr w14:val="tx1"/>
            </w14:solidFill>
          </w14:textFill>
        </w:rPr>
        <w:t>简介</w:t>
      </w:r>
      <w:bookmarkEnd w:id="126"/>
      <w:bookmarkEnd w:id="127"/>
      <w:bookmarkEnd w:id="128"/>
      <w:bookmarkEnd w:id="129"/>
      <w:bookmarkEnd w:id="130"/>
    </w:p>
    <w:p w14:paraId="3AE5AEA9">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牟定乾泰建材有限公司的前身是青龙红砖厂，青龙红砖厂成立于1992年，属于乡镇集体</w:t>
      </w:r>
      <w:r>
        <w:rPr>
          <w:rFonts w:hint="eastAsia" w:ascii="宋体" w:hAnsi="宋体" w:cs="宋体"/>
          <w:color w:val="000000" w:themeColor="text1"/>
          <w:sz w:val="28"/>
          <w:szCs w:val="28"/>
          <w:lang w:val="en-US" w:eastAsia="zh-CN"/>
          <w14:textFill>
            <w14:solidFill>
              <w14:schemeClr w14:val="tx1"/>
            </w14:solidFill>
          </w14:textFill>
        </w:rPr>
        <w:t>企</w:t>
      </w:r>
      <w:r>
        <w:rPr>
          <w:rFonts w:hint="eastAsia" w:ascii="宋体" w:hAnsi="宋体" w:eastAsia="宋体" w:cs="宋体"/>
          <w:color w:val="000000" w:themeColor="text1"/>
          <w:sz w:val="28"/>
          <w:szCs w:val="28"/>
          <w:lang w:val="en-US" w:eastAsia="zh-CN"/>
          <w14:textFill>
            <w14:solidFill>
              <w14:schemeClr w14:val="tx1"/>
            </w14:solidFill>
          </w14:textFill>
        </w:rPr>
        <w:t>业。1995年改制为自然人独资，更名为牟定乾泰建材有限公司。该厂具有30多年的红砖生产历史，此前为适应市场需求和建材行业标准化要求，曾进行过几次技改。为积极响应国家和牟定县政府关于墙材产业转型升级和升级改造的要求，牟定乾泰建材有限公司决定淘汰原有的轮窑生产线，在轮窑的基础上进行技术改造，技改扩建一条年生产能力9000万块烧结页岩空心砖的隧道窑生产线</w:t>
      </w:r>
      <w:r>
        <w:rPr>
          <w:rFonts w:hint="eastAsia" w:ascii="宋体" w:hAnsi="宋体" w:cs="宋体"/>
          <w:color w:val="000000" w:themeColor="text1"/>
          <w:sz w:val="28"/>
          <w:szCs w:val="28"/>
          <w:lang w:val="en-US" w:eastAsia="zh-CN"/>
          <w14:textFill>
            <w14:solidFill>
              <w14:schemeClr w14:val="tx1"/>
            </w14:solidFill>
          </w14:textFill>
        </w:rPr>
        <w:t>。</w:t>
      </w:r>
    </w:p>
    <w:p w14:paraId="3130499B">
      <w:pPr>
        <w:pStyle w:val="32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2015年8月31日取得牟定县国土资源局颁发的采矿许可证，已停止采矿，2018年5月7日牟定县安全生产监督管理局发文，牟定乾泰建材有限公司（青龙红砖厂）不在从事矿山采矿行为，使用外购页岩作为生产原料生产红砖。根据《楚雄州安全生产监督管理局关于进一步做好非煤矿山和尾矿库安全生产行政许可工作有关事项的通知》、《楚雄州人民政府办公室关于引发楚雄州非煤矿山转型升级工作方案的通知(楚政办通[2016]52号)》以及《牟定县非煤矿山转型升级方案》相关文件要求，牟定乾泰建材有限公司(青龙红砖厂)其企业类型由非煤矿山企业调整为工贸建材企业。</w:t>
      </w:r>
    </w:p>
    <w:p w14:paraId="731837C1">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31" w:name="_Toc21644"/>
      <w:bookmarkStart w:id="132" w:name="_Toc335926139"/>
      <w:bookmarkStart w:id="133" w:name="_Toc20298"/>
      <w:bookmarkStart w:id="134" w:name="_Toc10739"/>
      <w:r>
        <w:rPr>
          <w:rFonts w:hint="default" w:ascii="Times New Roman" w:hAnsi="Times New Roman" w:eastAsia="黑体" w:cs="Times New Roman"/>
          <w:color w:val="000000" w:themeColor="text1"/>
          <w14:textFill>
            <w14:solidFill>
              <w14:schemeClr w14:val="tx1"/>
            </w14:solidFill>
          </w14:textFill>
        </w:rPr>
        <w:t>2.2.</w:t>
      </w:r>
      <w:r>
        <w:rPr>
          <w:rFonts w:hint="eastAsia" w:ascii="Times New Roman" w:hAnsi="Times New Roman" w:cs="Times New Roman"/>
          <w:color w:val="000000" w:themeColor="text1"/>
          <w:lang w:val="en-US" w:eastAsia="zh-CN"/>
          <w14:textFill>
            <w14:solidFill>
              <w14:schemeClr w14:val="tx1"/>
            </w14:solidFill>
          </w14:textFill>
        </w:rPr>
        <w:t xml:space="preserve">2 </w:t>
      </w:r>
      <w:r>
        <w:rPr>
          <w:rFonts w:hint="default" w:ascii="Times New Roman" w:hAnsi="Times New Roman" w:eastAsia="黑体" w:cs="Times New Roman"/>
          <w:color w:val="000000" w:themeColor="text1"/>
          <w14:textFill>
            <w14:solidFill>
              <w14:schemeClr w14:val="tx1"/>
            </w14:solidFill>
          </w14:textFill>
        </w:rPr>
        <w:t>项目地理位置</w:t>
      </w:r>
      <w:bookmarkEnd w:id="120"/>
      <w:bookmarkEnd w:id="131"/>
      <w:bookmarkEnd w:id="132"/>
      <w:bookmarkEnd w:id="133"/>
      <w:bookmarkEnd w:id="134"/>
    </w:p>
    <w:p w14:paraId="729012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牟定县位于云南省中北部，楚雄彝族自治州中部，地处北纬25°09'—25°40'，东经101°19'—101°51'，属滇中腹地干旱区，东连禄丰，南接楚雄，西依南华、姚安，北靠大姚、元谋。境内群山连绵，地势西北高，东南低。县境内南北最大纵距57.6km，东西最大橫距53.6km，县城所在地共和镇平均海拔1758m。全县总面积1464km</w:t>
      </w:r>
      <w:r>
        <w:rPr>
          <w:rFonts w:hint="eastAsia" w:ascii="宋体" w:hAnsi="宋体" w:eastAsia="宋体" w:cs="宋体"/>
          <w:color w:val="000000" w:themeColor="text1"/>
          <w:sz w:val="28"/>
          <w:szCs w:val="28"/>
          <w:vertAlign w:val="superscript"/>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，其中，平坝区面积占9%，山区和半山区面积占91%。元（谋）双（柏）二级公路纵贯县境南北，姚（安）广（通）三级公路横穿县境东西。县城驻地共和镇，公路车程距州府楚雄市区32km，距省会昆明市区197km。</w:t>
      </w:r>
    </w:p>
    <w:p w14:paraId="4AD194B0">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本项目位于牟定县共和镇龙马池村，地理位置为东经101°31′50"，北纬25°17′59"。项目地理位置见</w:t>
      </w:r>
      <w:r>
        <w:rPr>
          <w:rFonts w:hint="eastAsia" w:ascii="宋体" w:hAnsi="宋体" w:eastAsia="宋体" w:cs="宋体"/>
          <w:color w:val="000000" w:themeColor="text1"/>
          <w:spacing w:val="-8"/>
          <w:sz w:val="28"/>
          <w:szCs w:val="28"/>
          <w:lang w:eastAsia="zh-CN"/>
          <w14:textFill>
            <w14:solidFill>
              <w14:schemeClr w14:val="tx1"/>
            </w14:solidFill>
          </w14:textFill>
        </w:rPr>
        <w:t>详</w:t>
      </w:r>
      <w:r>
        <w:rPr>
          <w:rFonts w:hint="eastAsia" w:ascii="宋体" w:hAnsi="宋体" w:eastAsia="宋体" w:cs="宋体"/>
          <w:color w:val="000000" w:themeColor="text1"/>
          <w:spacing w:val="-8"/>
          <w:sz w:val="28"/>
          <w:szCs w:val="28"/>
          <w14:textFill>
            <w14:solidFill>
              <w14:schemeClr w14:val="tx1"/>
            </w14:solidFill>
          </w14:textFill>
        </w:rPr>
        <w:t xml:space="preserve">见图 </w:t>
      </w:r>
      <w:r>
        <w:rPr>
          <w:rFonts w:hint="eastAsia" w:ascii="宋体" w:hAnsi="宋体" w:eastAsia="宋体" w:cs="宋体"/>
          <w:color w:val="000000" w:themeColor="text1"/>
          <w:spacing w:val="-8"/>
          <w:sz w:val="28"/>
          <w:szCs w:val="28"/>
          <w:lang w:val="en-US" w:eastAsia="zh-CN"/>
          <w14:textFill>
            <w14:solidFill>
              <w14:schemeClr w14:val="tx1"/>
            </w14:solidFill>
          </w14:textFill>
        </w:rPr>
        <w:t>2</w:t>
      </w:r>
      <w:r>
        <w:rPr>
          <w:rFonts w:hint="eastAsia" w:ascii="宋体" w:hAnsi="宋体" w:eastAsia="宋体" w:cs="宋体"/>
          <w:color w:val="000000" w:themeColor="text1"/>
          <w:spacing w:val="-8"/>
          <w:sz w:val="28"/>
          <w:szCs w:val="28"/>
          <w14:textFill>
            <w14:solidFill>
              <w14:schemeClr w14:val="tx1"/>
            </w14:solidFill>
          </w14:textFill>
        </w:rPr>
        <w:t>-1。</w:t>
      </w:r>
    </w:p>
    <w:p w14:paraId="07B7984B">
      <w:pPr>
        <w:keepNext w:val="0"/>
        <w:keepLines w:val="0"/>
        <w:pageBreakBefore w:val="0"/>
        <w:widowControl w:val="0"/>
        <w:kinsoku/>
        <w:wordWrap/>
        <w:overflowPunct/>
        <w:topLinePunct w:val="0"/>
        <w:autoSpaceDE/>
        <w:autoSpaceDN/>
        <w:bidi w:val="0"/>
        <w:adjustRightInd/>
        <w:snapToGrid/>
        <w:spacing w:line="360" w:lineRule="auto"/>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394325" cy="3239135"/>
            <wp:effectExtent l="0" t="0" r="635" b="6985"/>
            <wp:docPr id="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3"/>
                    <pic:cNvPicPr>
                      <a:picLocks noChangeAspect="1"/>
                    </pic:cNvPicPr>
                  </pic:nvPicPr>
                  <pic:blipFill>
                    <a:blip r:embed="rId12"/>
                    <a:stretch>
                      <a:fillRect/>
                    </a:stretch>
                  </pic:blipFill>
                  <pic:spPr>
                    <a:xfrm>
                      <a:off x="0" y="0"/>
                      <a:ext cx="5394325" cy="3239135"/>
                    </a:xfrm>
                    <a:prstGeom prst="rect">
                      <a:avLst/>
                    </a:prstGeom>
                    <a:noFill/>
                    <a:ln>
                      <a:noFill/>
                    </a:ln>
                  </pic:spPr>
                </pic:pic>
              </a:graphicData>
            </a:graphic>
          </wp:inline>
        </w:drawing>
      </w:r>
    </w:p>
    <w:p w14:paraId="1429B9B9">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rFonts w:hint="default"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图2-1 项目交通位置图</w:t>
      </w:r>
    </w:p>
    <w:p w14:paraId="13B62C47">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35" w:name="_Toc313453448"/>
      <w:bookmarkStart w:id="136" w:name="_Toc335926141"/>
      <w:bookmarkStart w:id="137" w:name="_Toc19442"/>
      <w:bookmarkStart w:id="138" w:name="_Toc2765"/>
      <w:bookmarkStart w:id="139" w:name="_Toc172174199"/>
      <w:r>
        <w:rPr>
          <w:rFonts w:hint="default" w:ascii="Times New Roman" w:hAnsi="Times New Roman" w:eastAsia="黑体" w:cs="Times New Roman"/>
          <w:color w:val="000000" w:themeColor="text1"/>
          <w14:textFill>
            <w14:solidFill>
              <w14:schemeClr w14:val="tx1"/>
            </w14:solidFill>
          </w14:textFill>
        </w:rPr>
        <w:t>2.2.</w:t>
      </w:r>
      <w:r>
        <w:rPr>
          <w:rFonts w:hint="eastAsia" w:ascii="Times New Roman" w:hAnsi="Times New Roman" w:cs="Times New Roman"/>
          <w:color w:val="000000" w:themeColor="text1"/>
          <w:lang w:val="en-US" w:eastAsia="zh-CN"/>
          <w14:textFill>
            <w14:solidFill>
              <w14:schemeClr w14:val="tx1"/>
            </w14:solidFill>
          </w14:textFill>
        </w:rPr>
        <w:t xml:space="preserve">3 </w:t>
      </w:r>
      <w:r>
        <w:rPr>
          <w:rFonts w:hint="default" w:ascii="Times New Roman" w:hAnsi="Times New Roman" w:eastAsia="黑体" w:cs="Times New Roman"/>
          <w:color w:val="000000" w:themeColor="text1"/>
          <w14:textFill>
            <w14:solidFill>
              <w14:schemeClr w14:val="tx1"/>
            </w14:solidFill>
          </w14:textFill>
        </w:rPr>
        <w:t>项目周边情况</w:t>
      </w:r>
      <w:bookmarkEnd w:id="135"/>
      <w:bookmarkEnd w:id="136"/>
      <w:bookmarkEnd w:id="137"/>
      <w:bookmarkEnd w:id="138"/>
    </w:p>
    <w:p w14:paraId="38875FFD">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厂界东侧约600m处为</w:t>
      </w:r>
      <w:r>
        <w:rPr>
          <w:rFonts w:hint="eastAsia" w:ascii="宋体" w:hAnsi="宋体" w:eastAsia="宋体" w:cs="宋体"/>
          <w:color w:val="000000" w:themeColor="text1"/>
          <w:sz w:val="28"/>
          <w:szCs w:val="28"/>
          <w14:textFill>
            <w14:solidFill>
              <w14:schemeClr w14:val="tx1"/>
            </w14:solidFill>
          </w14:textFill>
        </w:rPr>
        <w:t>大秋树村</w:t>
      </w:r>
      <w:r>
        <w:rPr>
          <w:rFonts w:hint="eastAsia" w:ascii="宋体" w:hAnsi="宋体" w:eastAsia="宋体" w:cs="宋体"/>
          <w:b w:val="0"/>
          <w:bCs w:val="0"/>
          <w:color w:val="000000" w:themeColor="text1"/>
          <w:sz w:val="28"/>
          <w:szCs w:val="28"/>
          <w:lang w:val="en-US" w:eastAsia="zh-CN"/>
          <w14:textFill>
            <w14:solidFill>
              <w14:schemeClr w14:val="tx1"/>
            </w14:solidFill>
          </w14:textFill>
        </w:rPr>
        <w:t>，北侧约500m处为龙马池村，龙马池大坝紧邻该厂界北侧，东侧紧邻乡村道路，南侧紧邻耕地。</w:t>
      </w:r>
      <w:r>
        <w:rPr>
          <w:rFonts w:hint="eastAsia" w:ascii="宋体" w:hAnsi="宋体" w:eastAsia="宋体" w:cs="宋体"/>
          <w:color w:val="000000" w:themeColor="text1"/>
          <w:kern w:val="0"/>
          <w:sz w:val="28"/>
          <w:szCs w:val="28"/>
          <w14:textFill>
            <w14:solidFill>
              <w14:schemeClr w14:val="tx1"/>
            </w14:solidFill>
          </w14:textFill>
        </w:rPr>
        <w:t>厂址周围无医院、文物古迹、自然保护区、风景名胜区等环境敏感点及国家重要的政治、军事、文化设施</w:t>
      </w:r>
      <w:r>
        <w:rPr>
          <w:rFonts w:hint="eastAsia" w:ascii="宋体" w:hAnsi="宋体" w:eastAsia="宋体" w:cs="宋体"/>
          <w:color w:val="000000" w:themeColor="text1"/>
          <w:sz w:val="28"/>
          <w:szCs w:val="28"/>
          <w14:textFill>
            <w14:solidFill>
              <w14:schemeClr w14:val="tx1"/>
            </w14:solidFill>
          </w14:textFill>
        </w:rPr>
        <w:t>。项目周边环境见图2-2。</w:t>
      </w:r>
    </w:p>
    <w:p w14:paraId="550F19B4">
      <w:pPr>
        <w:widowControl/>
        <w:adjustRightInd w:val="0"/>
        <w:snapToGrid w:val="0"/>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415915" cy="2955290"/>
            <wp:effectExtent l="0" t="0" r="9525" b="1270"/>
            <wp:docPr id="7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4"/>
                    <pic:cNvPicPr>
                      <a:picLocks noChangeAspect="1"/>
                    </pic:cNvPicPr>
                  </pic:nvPicPr>
                  <pic:blipFill>
                    <a:blip r:embed="rId13"/>
                    <a:stretch>
                      <a:fillRect/>
                    </a:stretch>
                  </pic:blipFill>
                  <pic:spPr>
                    <a:xfrm>
                      <a:off x="0" y="0"/>
                      <a:ext cx="5415915" cy="2955290"/>
                    </a:xfrm>
                    <a:prstGeom prst="rect">
                      <a:avLst/>
                    </a:prstGeom>
                    <a:noFill/>
                    <a:ln>
                      <a:noFill/>
                    </a:ln>
                  </pic:spPr>
                </pic:pic>
              </a:graphicData>
            </a:graphic>
          </wp:inline>
        </w:drawing>
      </w:r>
    </w:p>
    <w:p w14:paraId="5E0D0E9E">
      <w:pPr>
        <w:keepNext w:val="0"/>
        <w:keepLines w:val="0"/>
        <w:pageBreakBefore w:val="0"/>
        <w:widowControl w:val="0"/>
        <w:tabs>
          <w:tab w:val="left" w:pos="840"/>
          <w:tab w:val="left" w:pos="900"/>
        </w:tabs>
        <w:kinsoku/>
        <w:wordWrap/>
        <w:overflowPunct/>
        <w:topLinePunct w:val="0"/>
        <w:autoSpaceDE/>
        <w:autoSpaceDN/>
        <w:bidi w:val="0"/>
        <w:adjustRightInd/>
        <w:snapToGrid/>
        <w:spacing w:line="360" w:lineRule="auto"/>
        <w:ind w:left="0"/>
        <w:jc w:val="center"/>
        <w:textAlignment w:val="auto"/>
        <w:rPr>
          <w:rFonts w:hint="default" w:ascii="Times New Roman" w:hAnsi="Times New Roman" w:cs="Times New Roman" w:eastAsiaTheme="minorEastAsia"/>
          <w:b/>
          <w:bCs/>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b/>
          <w:bCs/>
          <w:color w:val="000000" w:themeColor="text1"/>
          <w14:textFill>
            <w14:solidFill>
              <w14:schemeClr w14:val="tx1"/>
            </w14:solidFill>
          </w14:textFill>
        </w:rPr>
        <w:t>图2-2 项目周边环境示意图</w:t>
      </w:r>
    </w:p>
    <w:p w14:paraId="4EFA63A6">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40" w:name="_Toc1712"/>
      <w:bookmarkStart w:id="141" w:name="_Toc335926142"/>
      <w:bookmarkStart w:id="142" w:name="_Toc17782"/>
      <w:bookmarkStart w:id="143" w:name="_Toc29473"/>
      <w:bookmarkStart w:id="144" w:name="_Toc313453449"/>
      <w:r>
        <w:rPr>
          <w:rFonts w:hint="default" w:ascii="Times New Roman" w:hAnsi="Times New Roman" w:eastAsia="黑体" w:cs="Times New Roman"/>
          <w:color w:val="000000" w:themeColor="text1"/>
          <w14:textFill>
            <w14:solidFill>
              <w14:schemeClr w14:val="tx1"/>
            </w14:solidFill>
          </w14:textFill>
        </w:rPr>
        <w:t>2.2.</w:t>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eastAsia="黑体" w:cs="Times New Roman"/>
          <w:color w:val="000000" w:themeColor="text1"/>
          <w14:textFill>
            <w14:solidFill>
              <w14:schemeClr w14:val="tx1"/>
            </w14:solidFill>
          </w14:textFill>
        </w:rPr>
        <w:t>气象条件</w:t>
      </w:r>
      <w:bookmarkEnd w:id="139"/>
      <w:bookmarkEnd w:id="140"/>
      <w:bookmarkEnd w:id="141"/>
      <w:bookmarkEnd w:id="142"/>
      <w:bookmarkEnd w:id="143"/>
      <w:bookmarkEnd w:id="144"/>
    </w:p>
    <w:p w14:paraId="6836A95E">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color w:val="000000" w:themeColor="text1"/>
          <w:sz w:val="28"/>
          <w:szCs w:val="28"/>
          <w14:textFill>
            <w14:solidFill>
              <w14:schemeClr w14:val="tx1"/>
            </w14:solidFill>
          </w14:textFill>
        </w:rPr>
      </w:pPr>
      <w:bookmarkStart w:id="145" w:name="_Toc335926143"/>
      <w:bookmarkStart w:id="146" w:name="_Toc313453450"/>
      <w:bookmarkStart w:id="147" w:name="_Toc29539"/>
      <w:r>
        <w:rPr>
          <w:rFonts w:hint="eastAsia"/>
          <w:color w:val="000000" w:themeColor="text1"/>
          <w:sz w:val="28"/>
          <w:szCs w:val="28"/>
          <w14:textFill>
            <w14:solidFill>
              <w14:schemeClr w14:val="tx1"/>
            </w14:solidFill>
          </w14:textFill>
        </w:rPr>
        <w:t>牟定县境为北亚热带季风气候区，冬无严寒，夏无酷暑；夏秋多雨，冬春干旱；干湿分明，雨热同季；雨量偏少，常多干旱。由于海拔自东南、东北向西逐渐升高，平均气温则逐渐下降，自然降水量却依次递增，具有一定的“立体气候”特点。全县80%的地区海拔高度均在1600-1900m之间，因而较热或较冷凉的地区仍属少数。灾害性天气，常见干旱、霜冻，育秧期倒春寒，影响水稻成熟的8月低温。年平均气温17.1℃；雨量880.1mm；多年平均日照为2117.9h，主导风向为西南风，平均风速1.37m/s。</w:t>
      </w:r>
    </w:p>
    <w:p w14:paraId="3567550C">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48" w:name="_Toc21990"/>
      <w:bookmarkStart w:id="149" w:name="_Toc6622"/>
      <w:r>
        <w:rPr>
          <w:rFonts w:hint="default" w:ascii="Times New Roman" w:hAnsi="Times New Roman" w:eastAsia="黑体" w:cs="Times New Roman"/>
          <w:color w:val="000000" w:themeColor="text1"/>
          <w14:textFill>
            <w14:solidFill>
              <w14:schemeClr w14:val="tx1"/>
            </w14:solidFill>
          </w14:textFill>
        </w:rPr>
        <w:t>2.2.</w:t>
      </w:r>
      <w:r>
        <w:rPr>
          <w:rFonts w:hint="eastAsia" w:ascii="Times New Roman" w:hAnsi="Times New Roman" w:cs="Times New Roman"/>
          <w:color w:val="000000" w:themeColor="text1"/>
          <w:lang w:val="en-US" w:eastAsia="zh-CN"/>
          <w14:textFill>
            <w14:solidFill>
              <w14:schemeClr w14:val="tx1"/>
            </w14:solidFill>
          </w14:textFill>
        </w:rPr>
        <w:t xml:space="preserve">5 </w:t>
      </w:r>
      <w:r>
        <w:rPr>
          <w:rFonts w:hint="default" w:ascii="Times New Roman" w:hAnsi="Times New Roman" w:eastAsia="黑体" w:cs="Times New Roman"/>
          <w:color w:val="000000" w:themeColor="text1"/>
          <w14:textFill>
            <w14:solidFill>
              <w14:schemeClr w14:val="tx1"/>
            </w14:solidFill>
          </w14:textFill>
        </w:rPr>
        <w:t>地质条件</w:t>
      </w:r>
      <w:bookmarkEnd w:id="145"/>
      <w:bookmarkEnd w:id="146"/>
      <w:bookmarkEnd w:id="147"/>
      <w:bookmarkEnd w:id="148"/>
      <w:bookmarkEnd w:id="149"/>
    </w:p>
    <w:p w14:paraId="7B432EE0">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1.地形、地貌</w:t>
      </w:r>
    </w:p>
    <w:p w14:paraId="649105D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地势自西北向东南倾斜，西北高、东南低；西北山高坡缓，高原面貌保持较完整；东北谷深坡陡，地表破碎，群山连绵，山脉延缓处呈一小平坝。境内褶皱宽缓，断层不发育，构造线方向为北西向。县内河流少，较大河流均沿县境边界环流，故县境呈周矮中凸状。境内多山，山地占全县总面积的91%，地层分布主要是元古界、中生界、新生界3种类型。</w:t>
      </w:r>
    </w:p>
    <w:p w14:paraId="5D5AD4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eastAsiaTheme="minorEastAsia"/>
          <w:color w:val="000000" w:themeColor="text1"/>
          <w:kern w:val="0"/>
          <w:sz w:val="28"/>
          <w:szCs w:val="28"/>
          <w14:textFill>
            <w14:solidFill>
              <w14:schemeClr w14:val="tx1"/>
            </w14:solidFill>
          </w14:textFill>
        </w:rPr>
      </w:pPr>
      <w:r>
        <w:rPr>
          <w:color w:val="000000" w:themeColor="text1"/>
          <w:sz w:val="28"/>
          <w:szCs w:val="28"/>
          <w14:textFill>
            <w14:solidFill>
              <w14:schemeClr w14:val="tx1"/>
            </w14:solidFill>
          </w14:textFill>
        </w:rPr>
        <w:t>项目所在区域具有明显的</w:t>
      </w:r>
      <w:r>
        <w:rPr>
          <w:rFonts w:hint="eastAsia"/>
          <w:color w:val="000000" w:themeColor="text1"/>
          <w:sz w:val="28"/>
          <w:szCs w:val="28"/>
          <w14:textFill>
            <w14:solidFill>
              <w14:schemeClr w14:val="tx1"/>
            </w14:solidFill>
          </w14:textFill>
        </w:rPr>
        <w:t>牟定</w:t>
      </w:r>
      <w:r>
        <w:rPr>
          <w:color w:val="000000" w:themeColor="text1"/>
          <w:sz w:val="28"/>
          <w:szCs w:val="28"/>
          <w14:textFill>
            <w14:solidFill>
              <w14:schemeClr w14:val="tx1"/>
            </w14:solidFill>
          </w14:textFill>
        </w:rPr>
        <w:t>县地质地貌特点，项目区域无明显临空面</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无特殊岩土</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无滑坡、崩塌及地面塌陷等不良地质作用和地质灾害，适宜建筑。</w:t>
      </w:r>
    </w:p>
    <w:p w14:paraId="6A82F185">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8"/>
          <w:szCs w:val="28"/>
          <w14:textFill>
            <w14:solidFill>
              <w14:schemeClr w14:val="tx1"/>
            </w14:solidFill>
          </w14:textFill>
        </w:rPr>
        <w:t>.水文</w:t>
      </w:r>
    </w:p>
    <w:p w14:paraId="5F5685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牟定县境内河流均属金沙江水系，主要河流有龙川江、勐岗河、紫甸河、冷水河、六渡河、观音塘河、大力歪河、小力歪河。县境可控制的流域面积为1449.57平方公里，年平均产水总量达</w:t>
      </w:r>
    </w:p>
    <w:p w14:paraId="43E1FD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2.9937亿</w:t>
      </w:r>
      <w:r>
        <w:rPr>
          <w:color w:val="000000" w:themeColor="text1"/>
          <w:sz w:val="28"/>
          <w:szCs w:val="28"/>
          <w:lang w:val="en-US" w:eastAsia="zh-CN"/>
          <w14:textFill>
            <w14:solidFill>
              <w14:schemeClr w14:val="tx1"/>
            </w14:solidFill>
          </w14:textFill>
        </w:rPr>
        <w:t>m</w:t>
      </w:r>
      <w:r>
        <w:rPr>
          <w:color w:val="000000" w:themeColor="text1"/>
          <w:sz w:val="28"/>
          <w:szCs w:val="28"/>
          <w:vertAlign w:val="superscript"/>
          <w:lang w:val="en-US" w:eastAsia="zh-CN"/>
          <w14:textFill>
            <w14:solidFill>
              <w14:schemeClr w14:val="tx1"/>
            </w14:solidFill>
          </w14:textFill>
        </w:rPr>
        <w:t>3</w:t>
      </w:r>
      <w:r>
        <w:rPr>
          <w:rFonts w:hint="eastAsia"/>
          <w:color w:val="000000" w:themeColor="text1"/>
          <w:sz w:val="28"/>
          <w:szCs w:val="28"/>
          <w:lang w:val="en-US" w:eastAsia="zh-CN"/>
          <w14:textFill>
            <w14:solidFill>
              <w14:schemeClr w14:val="tx1"/>
            </w14:solidFill>
          </w14:textFill>
        </w:rPr>
        <w:t>，水资源较为丰富，但多数河流均属边界河流，入境水量少，出境水量多，且地下水相对贫乏，加之水利化程度不高，总体上全县水资源供需矛盾仍很突出，区域性缺水现象十分严重。全县拥有水资源总量为5454万</w:t>
      </w:r>
      <w:r>
        <w:rPr>
          <w:color w:val="000000" w:themeColor="text1"/>
          <w:sz w:val="28"/>
          <w:szCs w:val="28"/>
          <w:lang w:val="en-US" w:eastAsia="zh-CN"/>
          <w14:textFill>
            <w14:solidFill>
              <w14:schemeClr w14:val="tx1"/>
            </w14:solidFill>
          </w14:textFill>
        </w:rPr>
        <w:t>m</w:t>
      </w:r>
      <w:r>
        <w:rPr>
          <w:color w:val="000000" w:themeColor="text1"/>
          <w:sz w:val="28"/>
          <w:szCs w:val="28"/>
          <w:vertAlign w:val="superscript"/>
          <w:lang w:val="en-US" w:eastAsia="zh-CN"/>
          <w14:textFill>
            <w14:solidFill>
              <w14:schemeClr w14:val="tx1"/>
            </w14:solidFill>
          </w14:textFill>
        </w:rPr>
        <w:t>3</w:t>
      </w:r>
      <w:r>
        <w:rPr>
          <w:rFonts w:hint="eastAsia"/>
          <w:color w:val="000000" w:themeColor="text1"/>
          <w:sz w:val="28"/>
          <w:szCs w:val="28"/>
          <w:lang w:val="en-US" w:eastAsia="zh-CN"/>
          <w14:textFill>
            <w14:solidFill>
              <w14:schemeClr w14:val="tx1"/>
            </w14:solidFill>
          </w14:textFill>
        </w:rPr>
        <w:t>，其中：地表水5199万</w:t>
      </w:r>
      <w:r>
        <w:rPr>
          <w:color w:val="000000" w:themeColor="text1"/>
          <w:sz w:val="28"/>
          <w:szCs w:val="28"/>
          <w:lang w:val="en-US" w:eastAsia="zh-CN"/>
          <w14:textFill>
            <w14:solidFill>
              <w14:schemeClr w14:val="tx1"/>
            </w14:solidFill>
          </w14:textFill>
        </w:rPr>
        <w:t>m</w:t>
      </w:r>
      <w:r>
        <w:rPr>
          <w:color w:val="000000" w:themeColor="text1"/>
          <w:sz w:val="28"/>
          <w:szCs w:val="28"/>
          <w:vertAlign w:val="superscript"/>
          <w:lang w:val="en-US" w:eastAsia="zh-CN"/>
          <w14:textFill>
            <w14:solidFill>
              <w14:schemeClr w14:val="tx1"/>
            </w14:solidFill>
          </w14:textFill>
        </w:rPr>
        <w:t>3</w:t>
      </w:r>
      <w:r>
        <w:rPr>
          <w:rFonts w:hint="eastAsia"/>
          <w:color w:val="000000" w:themeColor="text1"/>
          <w:sz w:val="28"/>
          <w:szCs w:val="28"/>
          <w:lang w:val="en-US" w:eastAsia="zh-CN"/>
          <w14:textFill>
            <w14:solidFill>
              <w14:schemeClr w14:val="tx1"/>
            </w14:solidFill>
          </w14:textFill>
        </w:rPr>
        <w:t>，地下水资源量235万</w:t>
      </w:r>
      <w:r>
        <w:rPr>
          <w:color w:val="000000" w:themeColor="text1"/>
          <w:sz w:val="28"/>
          <w:szCs w:val="28"/>
          <w:lang w:val="en-US" w:eastAsia="zh-CN"/>
          <w14:textFill>
            <w14:solidFill>
              <w14:schemeClr w14:val="tx1"/>
            </w14:solidFill>
          </w14:textFill>
        </w:rPr>
        <w:t>m</w:t>
      </w:r>
      <w:r>
        <w:rPr>
          <w:color w:val="000000" w:themeColor="text1"/>
          <w:sz w:val="28"/>
          <w:szCs w:val="28"/>
          <w:vertAlign w:val="superscript"/>
          <w:lang w:val="en-US" w:eastAsia="zh-CN"/>
          <w14:textFill>
            <w14:solidFill>
              <w14:schemeClr w14:val="tx1"/>
            </w14:solidFill>
          </w14:textFill>
        </w:rPr>
        <w:t>3</w:t>
      </w:r>
      <w:r>
        <w:rPr>
          <w:rFonts w:hint="eastAsia"/>
          <w:color w:val="000000" w:themeColor="text1"/>
          <w:sz w:val="28"/>
          <w:szCs w:val="28"/>
          <w:lang w:val="en-US" w:eastAsia="zh-CN"/>
          <w14:textFill>
            <w14:solidFill>
              <w14:schemeClr w14:val="tx1"/>
            </w14:solidFill>
          </w14:textFill>
        </w:rPr>
        <w:t>，雨水集蓄利用20万</w:t>
      </w:r>
      <w:r>
        <w:rPr>
          <w:color w:val="000000" w:themeColor="text1"/>
          <w:sz w:val="28"/>
          <w:szCs w:val="28"/>
          <w:lang w:val="en-US" w:eastAsia="zh-CN"/>
          <w14:textFill>
            <w14:solidFill>
              <w14:schemeClr w14:val="tx1"/>
            </w14:solidFill>
          </w14:textFill>
        </w:rPr>
        <w:t>m</w:t>
      </w:r>
      <w:r>
        <w:rPr>
          <w:color w:val="000000" w:themeColor="text1"/>
          <w:sz w:val="28"/>
          <w:szCs w:val="28"/>
          <w:vertAlign w:val="superscript"/>
          <w:lang w:val="en-US" w:eastAsia="zh-CN"/>
          <w14:textFill>
            <w14:solidFill>
              <w14:schemeClr w14:val="tx1"/>
            </w14:solidFill>
          </w14:textFill>
        </w:rPr>
        <w:t>3</w:t>
      </w:r>
      <w:r>
        <w:rPr>
          <w:rFonts w:hint="eastAsia"/>
          <w:color w:val="000000" w:themeColor="text1"/>
          <w:sz w:val="28"/>
          <w:szCs w:val="28"/>
          <w:lang w:val="en-US" w:eastAsia="zh-CN"/>
          <w14:textFill>
            <w14:solidFill>
              <w14:schemeClr w14:val="tx1"/>
            </w14:solidFill>
          </w14:textFill>
        </w:rPr>
        <w:t>。</w:t>
      </w:r>
    </w:p>
    <w:p w14:paraId="674B99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项目区位于牟定县共和镇龙马池村委会龙马池，周围主要地表水体为龙马池大坝和龙川河，龙马池大坝位于项目区北侧5m处，龙川河位于项目东侧1800m。</w:t>
      </w:r>
    </w:p>
    <w:p w14:paraId="7BD7D701">
      <w:pPr>
        <w:pStyle w:val="9"/>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8"/>
          <w:szCs w:val="28"/>
          <w14:textFill>
            <w14:solidFill>
              <w14:schemeClr w14:val="tx1"/>
            </w14:solidFill>
          </w14:textFill>
        </w:rPr>
        <w:t>.抗震</w:t>
      </w:r>
    </w:p>
    <w:p w14:paraId="3EBF33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ì."/>
          <w:color w:val="000000" w:themeColor="text1"/>
          <w:sz w:val="28"/>
          <w:szCs w:val="28"/>
          <w14:textFill>
            <w14:solidFill>
              <w14:schemeClr w14:val="tx1"/>
            </w14:solidFill>
          </w14:textFill>
        </w:rPr>
      </w:pPr>
      <w:r>
        <w:rPr>
          <w:rFonts w:hint="eastAsia" w:ascii="宋体" w:hAnsi="宋体" w:eastAsia="宋体" w:cs="..ì."/>
          <w:color w:val="000000" w:themeColor="text1"/>
          <w:sz w:val="28"/>
          <w:szCs w:val="28"/>
          <w14:textFill>
            <w14:solidFill>
              <w14:schemeClr w14:val="tx1"/>
            </w14:solidFill>
          </w14:textFill>
        </w:rPr>
        <w:t>据《建筑抗震设计规范》GB50011—2010</w:t>
      </w:r>
      <w:r>
        <w:rPr>
          <w:rFonts w:hint="eastAsia" w:ascii="宋体" w:hAnsi="宋体" w:eastAsia="宋体" w:cs="..ì."/>
          <w:color w:val="000000" w:themeColor="text1"/>
          <w:sz w:val="28"/>
          <w:szCs w:val="28"/>
          <w:lang w:eastAsia="zh-CN"/>
          <w14:textFill>
            <w14:solidFill>
              <w14:schemeClr w14:val="tx1"/>
            </w14:solidFill>
          </w14:textFill>
        </w:rPr>
        <w:t>）</w:t>
      </w:r>
      <w:r>
        <w:rPr>
          <w:rFonts w:hint="eastAsia" w:ascii="宋体" w:hAnsi="宋体" w:eastAsia="宋体" w:cs="..ì."/>
          <w:color w:val="000000" w:themeColor="text1"/>
          <w:sz w:val="28"/>
          <w:szCs w:val="28"/>
          <w14:textFill>
            <w14:solidFill>
              <w14:schemeClr w14:val="tx1"/>
            </w14:solidFill>
          </w14:textFill>
        </w:rPr>
        <w:t>中的有关规定，矿区所在地对应的地震基本烈度为Ⅶ度，抗震设防烈度为 7 度，设计基本地震加速度值为 0.15g，地震动反应谱特征周期为 0.45s，抗震设防分组为第二组,区域稳定性分级为次稳定区。</w:t>
      </w:r>
    </w:p>
    <w:p w14:paraId="3BFAABBA">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150" w:name="_Toc335926144"/>
      <w:bookmarkStart w:id="151" w:name="_Toc2898"/>
      <w:bookmarkStart w:id="152" w:name="_Toc2184"/>
      <w:bookmarkStart w:id="153" w:name="_Toc278151346"/>
      <w:bookmarkStart w:id="154" w:name="_Toc309682404"/>
      <w:bookmarkStart w:id="155" w:name="_Toc25918"/>
      <w:bookmarkStart w:id="156" w:name="_Toc327017738"/>
      <w:r>
        <w:rPr>
          <w:rFonts w:hint="default" w:ascii="Times New Roman" w:hAnsi="Times New Roman" w:eastAsia="楷体" w:cs="Times New Roman"/>
          <w:color w:val="000000" w:themeColor="text1"/>
          <w14:textFill>
            <w14:solidFill>
              <w14:schemeClr w14:val="tx1"/>
            </w14:solidFill>
          </w14:textFill>
        </w:rPr>
        <w:t>2.3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总图布置</w:t>
      </w:r>
      <w:bookmarkEnd w:id="150"/>
      <w:bookmarkEnd w:id="151"/>
      <w:bookmarkEnd w:id="152"/>
      <w:bookmarkEnd w:id="153"/>
      <w:bookmarkEnd w:id="154"/>
      <w:bookmarkEnd w:id="155"/>
      <w:bookmarkEnd w:id="156"/>
    </w:p>
    <w:p w14:paraId="5A76199F">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57" w:name="_Toc327017739"/>
      <w:bookmarkStart w:id="158" w:name="_Toc278151347"/>
      <w:bookmarkStart w:id="159" w:name="_Toc24006"/>
      <w:bookmarkStart w:id="160" w:name="_Toc309682405"/>
      <w:bookmarkStart w:id="161" w:name="_Toc335926145"/>
      <w:bookmarkStart w:id="162" w:name="_Toc18825"/>
      <w:bookmarkStart w:id="163" w:name="_Toc26644"/>
      <w:r>
        <w:rPr>
          <w:rFonts w:hint="default" w:ascii="Times New Roman" w:hAnsi="Times New Roman" w:eastAsia="黑体" w:cs="Times New Roman"/>
          <w:color w:val="000000" w:themeColor="text1"/>
          <w14:textFill>
            <w14:solidFill>
              <w14:schemeClr w14:val="tx1"/>
            </w14:solidFill>
          </w14:textFill>
        </w:rPr>
        <w:t>2.3.1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总平面布置</w:t>
      </w:r>
      <w:bookmarkEnd w:id="157"/>
      <w:bookmarkEnd w:id="158"/>
      <w:bookmarkEnd w:id="159"/>
      <w:bookmarkEnd w:id="160"/>
      <w:bookmarkEnd w:id="161"/>
      <w:bookmarkEnd w:id="162"/>
      <w:bookmarkEnd w:id="163"/>
    </w:p>
    <w:p w14:paraId="3095A73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现状：</w:t>
      </w:r>
      <w:r>
        <w:rPr>
          <w:rFonts w:hint="eastAsia" w:ascii="宋体" w:hAnsi="宋体" w:eastAsia="宋体" w:cs="宋体"/>
          <w:color w:val="000000" w:themeColor="text1"/>
          <w:sz w:val="28"/>
          <w:lang w:eastAsia="zh-CN"/>
          <w14:textFill>
            <w14:solidFill>
              <w14:schemeClr w14:val="tx1"/>
            </w14:solidFill>
          </w14:textFill>
        </w:rPr>
        <w:t>厂区</w:t>
      </w:r>
      <w:r>
        <w:rPr>
          <w:rFonts w:hint="eastAsia" w:ascii="宋体" w:hAnsi="宋体" w:eastAsia="宋体" w:cs="宋体"/>
          <w:color w:val="000000" w:themeColor="text1"/>
          <w:sz w:val="28"/>
          <w14:textFill>
            <w14:solidFill>
              <w14:schemeClr w14:val="tx1"/>
            </w14:solidFill>
          </w14:textFill>
        </w:rPr>
        <w:t>根据生产需要将平面布置分为生产区、</w:t>
      </w:r>
      <w:r>
        <w:rPr>
          <w:rFonts w:hint="eastAsia" w:ascii="宋体" w:hAnsi="宋体" w:eastAsia="宋体" w:cs="宋体"/>
          <w:color w:val="000000" w:themeColor="text1"/>
          <w:sz w:val="28"/>
          <w:lang w:eastAsia="zh-CN"/>
          <w14:textFill>
            <w14:solidFill>
              <w14:schemeClr w14:val="tx1"/>
            </w14:solidFill>
          </w14:textFill>
        </w:rPr>
        <w:t>非生产区、辅助区</w:t>
      </w:r>
      <w:r>
        <w:rPr>
          <w:rFonts w:hint="eastAsia" w:ascii="宋体" w:hAnsi="宋体" w:eastAsia="宋体" w:cs="宋体"/>
          <w:color w:val="000000" w:themeColor="text1"/>
          <w:sz w:val="28"/>
          <w14:textFill>
            <w14:solidFill>
              <w14:schemeClr w14:val="tx1"/>
            </w14:solidFill>
          </w14:textFill>
        </w:rPr>
        <w:t>。</w:t>
      </w:r>
    </w:p>
    <w:p w14:paraId="10B05B9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生产区包括：</w:t>
      </w:r>
      <w:r>
        <w:rPr>
          <w:rFonts w:hint="eastAsia" w:ascii="宋体" w:hAnsi="宋体" w:eastAsia="宋体" w:cs="宋体"/>
          <w:color w:val="000000" w:themeColor="text1"/>
          <w:sz w:val="28"/>
          <w:szCs w:val="28"/>
          <w14:textFill>
            <w14:solidFill>
              <w14:schemeClr w14:val="tx1"/>
            </w14:solidFill>
          </w14:textFill>
        </w:rPr>
        <w:t>原料堆场</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破碎系统、制砖车间、成品堆放区</w:t>
      </w:r>
      <w:r>
        <w:rPr>
          <w:rFonts w:hint="eastAsia" w:ascii="宋体" w:hAnsi="宋体" w:eastAsia="宋体" w:cs="宋体"/>
          <w:color w:val="000000" w:themeColor="text1"/>
          <w:sz w:val="28"/>
          <w:lang w:eastAsia="zh-CN"/>
          <w14:textFill>
            <w14:solidFill>
              <w14:schemeClr w14:val="tx1"/>
            </w14:solidFill>
          </w14:textFill>
        </w:rPr>
        <w:t>、</w:t>
      </w:r>
      <w:r>
        <w:rPr>
          <w:rFonts w:hint="eastAsia" w:ascii="宋体" w:hAnsi="宋体" w:eastAsia="宋体" w:cs="宋体"/>
          <w:color w:val="000000" w:themeColor="text1"/>
          <w:sz w:val="28"/>
          <w14:textFill>
            <w14:solidFill>
              <w14:schemeClr w14:val="tx1"/>
            </w14:solidFill>
          </w14:textFill>
        </w:rPr>
        <w:t>隧道窑；</w:t>
      </w:r>
    </w:p>
    <w:p w14:paraId="06D8AE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非生产区包括：办公生活区；</w:t>
      </w:r>
    </w:p>
    <w:p w14:paraId="444E688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lang w:val="en-US" w:eastAsia="zh-CN"/>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辅助区包括：</w:t>
      </w:r>
      <w:r>
        <w:rPr>
          <w:rFonts w:hint="eastAsia" w:ascii="宋体" w:hAnsi="宋体" w:eastAsia="宋体" w:cs="宋体"/>
          <w:color w:val="000000" w:themeColor="text1"/>
          <w:sz w:val="28"/>
          <w:szCs w:val="28"/>
          <w:lang w:val="en-US" w:eastAsia="zh-CN"/>
          <w14:textFill>
            <w14:solidFill>
              <w14:schemeClr w14:val="tx1"/>
            </w14:solidFill>
          </w14:textFill>
        </w:rPr>
        <w:t>污水处理</w:t>
      </w:r>
      <w:r>
        <w:rPr>
          <w:rFonts w:hint="eastAsia" w:ascii="宋体" w:hAnsi="宋体" w:eastAsia="宋体" w:cs="宋体"/>
          <w:color w:val="000000" w:themeColor="text1"/>
          <w:sz w:val="28"/>
          <w:szCs w:val="28"/>
          <w14:textFill>
            <w14:solidFill>
              <w14:schemeClr w14:val="tx1"/>
            </w14:solidFill>
          </w14:textFill>
        </w:rPr>
        <w:t>、脱硫系统、配电、</w:t>
      </w:r>
      <w:r>
        <w:rPr>
          <w:rFonts w:hint="eastAsia" w:ascii="宋体" w:hAnsi="宋体" w:eastAsia="宋体" w:cs="宋体"/>
          <w:color w:val="000000" w:themeColor="text1"/>
          <w:sz w:val="28"/>
          <w:szCs w:val="28"/>
          <w:lang w:val="en-US" w:eastAsia="zh-CN"/>
          <w14:textFill>
            <w14:solidFill>
              <w14:schemeClr w14:val="tx1"/>
            </w14:solidFill>
          </w14:textFill>
        </w:rPr>
        <w:t>机修等。</w:t>
      </w:r>
    </w:p>
    <w:p w14:paraId="277879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lang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厂内建筑：</w:t>
      </w:r>
      <w:r>
        <w:rPr>
          <w:rFonts w:hint="eastAsia" w:ascii="宋体" w:hAnsi="宋体" w:eastAsia="宋体" w:cs="宋体"/>
          <w:snapToGrid w:val="0"/>
          <w:color w:val="000000" w:themeColor="text1"/>
          <w:kern w:val="0"/>
          <w:sz w:val="28"/>
          <w14:textFill>
            <w14:solidFill>
              <w14:schemeClr w14:val="tx1"/>
            </w14:solidFill>
          </w14:textFill>
        </w:rPr>
        <w:t>自北向南依次为成品</w:t>
      </w:r>
      <w:r>
        <w:rPr>
          <w:rFonts w:hint="eastAsia" w:ascii="宋体" w:hAnsi="宋体" w:eastAsia="宋体" w:cs="宋体"/>
          <w:snapToGrid w:val="0"/>
          <w:color w:val="000000" w:themeColor="text1"/>
          <w:kern w:val="0"/>
          <w:sz w:val="28"/>
          <w:lang w:val="en-US" w:eastAsia="zh-CN"/>
          <w14:textFill>
            <w14:solidFill>
              <w14:schemeClr w14:val="tx1"/>
            </w14:solidFill>
          </w14:textFill>
        </w:rPr>
        <w:t>装车区</w:t>
      </w:r>
      <w:r>
        <w:rPr>
          <w:rFonts w:hint="eastAsia" w:ascii="宋体" w:hAnsi="宋体" w:eastAsia="宋体" w:cs="宋体"/>
          <w:snapToGrid w:val="0"/>
          <w:color w:val="000000" w:themeColor="text1"/>
          <w:kern w:val="0"/>
          <w:sz w:val="28"/>
          <w14:textFill>
            <w14:solidFill>
              <w14:schemeClr w14:val="tx1"/>
            </w14:solidFill>
          </w14:textFill>
        </w:rPr>
        <w:t>、隧道窑、</w:t>
      </w:r>
      <w:r>
        <w:rPr>
          <w:rFonts w:hint="eastAsia" w:ascii="宋体" w:hAnsi="宋体" w:eastAsia="宋体" w:cs="宋体"/>
          <w:snapToGrid w:val="0"/>
          <w:color w:val="000000" w:themeColor="text1"/>
          <w:kern w:val="0"/>
          <w:sz w:val="28"/>
          <w:lang w:val="en-US" w:eastAsia="zh-CN"/>
          <w14:textFill>
            <w14:solidFill>
              <w14:schemeClr w14:val="tx1"/>
            </w14:solidFill>
          </w14:textFill>
        </w:rPr>
        <w:t>半成品区、制砖车间、</w:t>
      </w:r>
      <w:r>
        <w:rPr>
          <w:rFonts w:hint="eastAsia" w:ascii="宋体" w:hAnsi="宋体" w:eastAsia="宋体" w:cs="宋体"/>
          <w:snapToGrid w:val="0"/>
          <w:color w:val="000000" w:themeColor="text1"/>
          <w:kern w:val="0"/>
          <w:sz w:val="28"/>
          <w14:textFill>
            <w14:solidFill>
              <w14:schemeClr w14:val="tx1"/>
            </w14:solidFill>
          </w14:textFill>
        </w:rPr>
        <w:t>破碎车间、</w:t>
      </w:r>
      <w:r>
        <w:rPr>
          <w:rFonts w:hint="eastAsia" w:ascii="宋体" w:hAnsi="宋体" w:eastAsia="宋体" w:cs="宋体"/>
          <w:snapToGrid w:val="0"/>
          <w:color w:val="000000" w:themeColor="text1"/>
          <w:kern w:val="0"/>
          <w:sz w:val="28"/>
          <w:lang w:val="en-US" w:eastAsia="zh-CN"/>
          <w14:textFill>
            <w14:solidFill>
              <w14:schemeClr w14:val="tx1"/>
            </w14:solidFill>
          </w14:textFill>
        </w:rPr>
        <w:t>陈化库、机修、</w:t>
      </w:r>
      <w:r>
        <w:rPr>
          <w:rFonts w:hint="eastAsia" w:ascii="宋体" w:hAnsi="宋体" w:eastAsia="宋体" w:cs="宋体"/>
          <w:snapToGrid w:val="0"/>
          <w:color w:val="000000" w:themeColor="text1"/>
          <w:kern w:val="0"/>
          <w:sz w:val="28"/>
          <w14:textFill>
            <w14:solidFill>
              <w14:schemeClr w14:val="tx1"/>
            </w14:solidFill>
          </w14:textFill>
        </w:rPr>
        <w:t>原料堆场</w:t>
      </w:r>
      <w:r>
        <w:rPr>
          <w:rFonts w:hint="eastAsia" w:ascii="宋体" w:hAnsi="宋体" w:eastAsia="宋体" w:cs="宋体"/>
          <w:snapToGrid w:val="0"/>
          <w:color w:val="000000" w:themeColor="text1"/>
          <w:kern w:val="0"/>
          <w:sz w:val="28"/>
          <w:lang w:eastAsia="zh-CN"/>
          <w14:textFill>
            <w14:solidFill>
              <w14:schemeClr w14:val="tx1"/>
            </w14:solidFill>
          </w14:textFill>
        </w:rPr>
        <w:t>、</w:t>
      </w:r>
      <w:r>
        <w:rPr>
          <w:rFonts w:hint="eastAsia" w:ascii="宋体" w:hAnsi="宋体" w:eastAsia="宋体" w:cs="宋体"/>
          <w:snapToGrid w:val="0"/>
          <w:color w:val="000000" w:themeColor="text1"/>
          <w:kern w:val="0"/>
          <w:sz w:val="28"/>
          <w:lang w:val="en-US" w:eastAsia="zh-CN"/>
          <w14:textFill>
            <w14:solidFill>
              <w14:schemeClr w14:val="tx1"/>
            </w14:solidFill>
          </w14:textFill>
        </w:rPr>
        <w:t>矿山</w:t>
      </w:r>
      <w:r>
        <w:rPr>
          <w:rFonts w:hint="eastAsia" w:ascii="宋体" w:hAnsi="宋体" w:eastAsia="宋体" w:cs="宋体"/>
          <w:snapToGrid w:val="0"/>
          <w:color w:val="000000" w:themeColor="text1"/>
          <w:kern w:val="0"/>
          <w:sz w:val="28"/>
          <w14:textFill>
            <w14:solidFill>
              <w14:schemeClr w14:val="tx1"/>
            </w14:solidFill>
          </w14:textFill>
        </w:rPr>
        <w:t>，</w:t>
      </w:r>
      <w:r>
        <w:rPr>
          <w:rFonts w:hint="eastAsia" w:ascii="宋体" w:hAnsi="宋体" w:eastAsia="宋体" w:cs="宋体"/>
          <w:snapToGrid w:val="0"/>
          <w:color w:val="000000" w:themeColor="text1"/>
          <w:kern w:val="0"/>
          <w:sz w:val="28"/>
          <w:lang w:val="en-US" w:eastAsia="zh-CN"/>
          <w14:textFill>
            <w14:solidFill>
              <w14:schemeClr w14:val="tx1"/>
            </w14:solidFill>
          </w14:textFill>
        </w:rPr>
        <w:t>脱硫系统、污水处理池</w:t>
      </w:r>
      <w:r>
        <w:rPr>
          <w:rFonts w:hint="eastAsia" w:ascii="宋体" w:hAnsi="宋体" w:eastAsia="宋体" w:cs="宋体"/>
          <w:snapToGrid w:val="0"/>
          <w:color w:val="000000" w:themeColor="text1"/>
          <w:kern w:val="0"/>
          <w:sz w:val="28"/>
          <w14:textFill>
            <w14:solidFill>
              <w14:schemeClr w14:val="tx1"/>
            </w14:solidFill>
          </w14:textFill>
        </w:rPr>
        <w:t>布置于隧道窑</w:t>
      </w:r>
      <w:r>
        <w:rPr>
          <w:rFonts w:hint="eastAsia" w:ascii="宋体" w:hAnsi="宋体" w:eastAsia="宋体" w:cs="宋体"/>
          <w:snapToGrid w:val="0"/>
          <w:color w:val="000000" w:themeColor="text1"/>
          <w:kern w:val="0"/>
          <w:sz w:val="28"/>
          <w:lang w:val="en-US" w:eastAsia="zh-CN"/>
          <w14:textFill>
            <w14:solidFill>
              <w14:schemeClr w14:val="tx1"/>
            </w14:solidFill>
          </w14:textFill>
        </w:rPr>
        <w:t>西</w:t>
      </w:r>
      <w:r>
        <w:rPr>
          <w:rFonts w:hint="eastAsia" w:ascii="宋体" w:hAnsi="宋体" w:eastAsia="宋体" w:cs="宋体"/>
          <w:snapToGrid w:val="0"/>
          <w:color w:val="000000" w:themeColor="text1"/>
          <w:kern w:val="0"/>
          <w:sz w:val="28"/>
          <w14:textFill>
            <w14:solidFill>
              <w14:schemeClr w14:val="tx1"/>
            </w14:solidFill>
          </w14:textFill>
        </w:rPr>
        <w:t>侧，制砖车间</w:t>
      </w:r>
      <w:r>
        <w:rPr>
          <w:rFonts w:hint="eastAsia" w:ascii="宋体" w:hAnsi="宋体" w:eastAsia="宋体" w:cs="宋体"/>
          <w:snapToGrid w:val="0"/>
          <w:color w:val="000000" w:themeColor="text1"/>
          <w:kern w:val="0"/>
          <w:sz w:val="28"/>
          <w:lang w:val="en-US" w:eastAsia="zh-CN"/>
          <w14:textFill>
            <w14:solidFill>
              <w14:schemeClr w14:val="tx1"/>
            </w14:solidFill>
          </w14:textFill>
        </w:rPr>
        <w:t>东</w:t>
      </w:r>
      <w:r>
        <w:rPr>
          <w:rFonts w:hint="eastAsia" w:ascii="宋体" w:hAnsi="宋体" w:eastAsia="宋体" w:cs="宋体"/>
          <w:snapToGrid w:val="0"/>
          <w:color w:val="000000" w:themeColor="text1"/>
          <w:kern w:val="0"/>
          <w:sz w:val="28"/>
          <w14:textFill>
            <w14:solidFill>
              <w14:schemeClr w14:val="tx1"/>
            </w14:solidFill>
          </w14:textFill>
        </w:rPr>
        <w:t>侧为办公生活区</w:t>
      </w:r>
      <w:r>
        <w:rPr>
          <w:rFonts w:hint="eastAsia" w:ascii="宋体" w:hAnsi="宋体" w:eastAsia="宋体" w:cs="宋体"/>
          <w:color w:val="000000" w:themeColor="text1"/>
          <w:sz w:val="28"/>
          <w:szCs w:val="28"/>
          <w14:textFill>
            <w14:solidFill>
              <w14:schemeClr w14:val="tx1"/>
            </w14:solidFill>
          </w14:textFill>
        </w:rPr>
        <w:t>。总平面布置图见图</w:t>
      </w:r>
      <w:r>
        <w:rPr>
          <w:rFonts w:hint="eastAsia" w:ascii="宋体" w:hAnsi="宋体" w:eastAsia="宋体" w:cs="宋体"/>
          <w:color w:val="000000" w:themeColor="text1"/>
          <w:sz w:val="28"/>
          <w:szCs w:val="28"/>
          <w:lang w:val="en-US" w:eastAsia="zh-CN"/>
          <w14:textFill>
            <w14:solidFill>
              <w14:schemeClr w14:val="tx1"/>
            </w14:solidFill>
          </w14:textFill>
        </w:rPr>
        <w:t>2-3</w:t>
      </w:r>
      <w:r>
        <w:rPr>
          <w:rFonts w:hint="eastAsia" w:ascii="宋体" w:hAnsi="宋体" w:eastAsia="宋体" w:cs="宋体"/>
          <w:color w:val="000000" w:themeColor="text1"/>
          <w:sz w:val="28"/>
          <w:szCs w:val="20"/>
          <w14:textFill>
            <w14:solidFill>
              <w14:schemeClr w14:val="tx1"/>
            </w14:solidFill>
          </w14:textFill>
        </w:rPr>
        <w:t>所示</w:t>
      </w:r>
      <w:r>
        <w:rPr>
          <w:rFonts w:hint="eastAsia" w:ascii="宋体" w:hAnsi="宋体" w:eastAsia="宋体" w:cs="宋体"/>
          <w:color w:val="000000" w:themeColor="text1"/>
          <w:sz w:val="28"/>
          <w:szCs w:val="20"/>
          <w:lang w:eastAsia="zh-CN"/>
          <w14:textFill>
            <w14:solidFill>
              <w14:schemeClr w14:val="tx1"/>
            </w14:solidFill>
          </w14:textFill>
        </w:rPr>
        <w:t>。</w:t>
      </w:r>
    </w:p>
    <w:p w14:paraId="39D1F4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8"/>
          <w14:textFill>
            <w14:solidFill>
              <w14:schemeClr w14:val="tx1"/>
            </w14:solidFill>
          </w14:textFill>
        </w:rPr>
      </w:pPr>
      <w:r>
        <w:rPr>
          <w:color w:val="000000" w:themeColor="text1"/>
          <w14:textFill>
            <w14:solidFill>
              <w14:schemeClr w14:val="tx1"/>
            </w14:solidFill>
          </w14:textFill>
        </w:rPr>
        <w:drawing>
          <wp:inline distT="0" distB="0" distL="114300" distR="114300">
            <wp:extent cx="5395595" cy="4838700"/>
            <wp:effectExtent l="0" t="0" r="0" b="0"/>
            <wp:docPr id="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
                    <pic:cNvPicPr>
                      <a:picLocks noChangeAspect="1"/>
                    </pic:cNvPicPr>
                  </pic:nvPicPr>
                  <pic:blipFill>
                    <a:blip r:embed="rId14"/>
                    <a:srcRect t="6088"/>
                    <a:stretch>
                      <a:fillRect/>
                    </a:stretch>
                  </pic:blipFill>
                  <pic:spPr>
                    <a:xfrm>
                      <a:off x="0" y="0"/>
                      <a:ext cx="5395595" cy="4838700"/>
                    </a:xfrm>
                    <a:prstGeom prst="rect">
                      <a:avLst/>
                    </a:prstGeom>
                    <a:noFill/>
                    <a:ln>
                      <a:noFill/>
                    </a:ln>
                  </pic:spPr>
                </pic:pic>
              </a:graphicData>
            </a:graphic>
          </wp:inline>
        </w:drawing>
      </w:r>
    </w:p>
    <w:p w14:paraId="69C0560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p>
    <w:p w14:paraId="156A35D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rFonts w:hint="default" w:ascii="宋体" w:hAnsi="宋体" w:eastAsia="宋体" w:cs="宋体"/>
          <w:color w:val="000000" w:themeColor="text1"/>
          <w:sz w:val="28"/>
          <w:lang w:val="en-US"/>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图</w:t>
      </w:r>
      <w:r>
        <w:rPr>
          <w:rFonts w:hint="eastAsia" w:ascii="宋体" w:hAnsi="宋体" w:eastAsia="宋体" w:cs="宋体"/>
          <w:color w:val="000000" w:themeColor="text1"/>
          <w:sz w:val="28"/>
          <w:szCs w:val="28"/>
          <w:lang w:val="en-US" w:eastAsia="zh-CN"/>
          <w14:textFill>
            <w14:solidFill>
              <w14:schemeClr w14:val="tx1"/>
            </w14:solidFill>
          </w14:textFill>
        </w:rPr>
        <w:t xml:space="preserve">2-3 </w:t>
      </w:r>
      <w:r>
        <w:rPr>
          <w:rFonts w:hint="eastAsia" w:ascii="宋体" w:hAnsi="宋体" w:eastAsia="宋体" w:cs="宋体"/>
          <w:color w:val="000000" w:themeColor="text1"/>
          <w:sz w:val="28"/>
          <w:szCs w:val="28"/>
          <w14:textFill>
            <w14:solidFill>
              <w14:schemeClr w14:val="tx1"/>
            </w14:solidFill>
          </w14:textFill>
        </w:rPr>
        <w:t>总平面布置图</w:t>
      </w:r>
    </w:p>
    <w:p w14:paraId="6F714F15">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eastAsiaTheme="minorEastAsia"/>
          <w:color w:val="000000" w:themeColor="text1"/>
          <w:sz w:val="28"/>
          <w:lang w:val="en-US" w:eastAsia="zh-CN"/>
          <w14:textFill>
            <w14:solidFill>
              <w14:schemeClr w14:val="tx1"/>
            </w14:solidFill>
          </w14:textFill>
        </w:rPr>
      </w:pPr>
      <w:bookmarkStart w:id="164" w:name="_Toc19100"/>
      <w:bookmarkStart w:id="165" w:name="_Toc22895"/>
      <w:bookmarkStart w:id="166" w:name="_Toc5539"/>
      <w:r>
        <w:rPr>
          <w:rFonts w:hint="default" w:ascii="Times New Roman" w:hAnsi="Times New Roman" w:eastAsia="黑体" w:cs="Times New Roman"/>
          <w:color w:val="000000" w:themeColor="text1"/>
          <w14:textFill>
            <w14:solidFill>
              <w14:schemeClr w14:val="tx1"/>
            </w14:solidFill>
          </w14:textFill>
        </w:rPr>
        <w:t>2.3.2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厂内</w:t>
      </w:r>
      <w:bookmarkEnd w:id="164"/>
      <w:r>
        <w:rPr>
          <w:rFonts w:hint="default" w:ascii="Times New Roman" w:hAnsi="Times New Roman" w:eastAsia="黑体" w:cs="Times New Roman"/>
          <w:color w:val="000000" w:themeColor="text1"/>
          <w14:textFill>
            <w14:solidFill>
              <w14:schemeClr w14:val="tx1"/>
            </w14:solidFill>
          </w14:textFill>
        </w:rPr>
        <w:t>运输</w:t>
      </w:r>
      <w:bookmarkEnd w:id="165"/>
      <w:bookmarkEnd w:id="166"/>
    </w:p>
    <w:p w14:paraId="2212BB2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color w:val="000000" w:themeColor="text1"/>
          <w:sz w:val="28"/>
          <w:lang w:val="en-US" w:eastAsia="zh-CN"/>
          <w14:textFill>
            <w14:solidFill>
              <w14:schemeClr w14:val="tx1"/>
            </w14:solidFill>
          </w14:textFill>
        </w:rPr>
      </w:pPr>
      <w:r>
        <w:rPr>
          <w:rFonts w:hint="default" w:ascii="Times New Roman" w:hAnsi="Times New Roman" w:cs="Times New Roman" w:eastAsiaTheme="minorEastAsia"/>
          <w:color w:val="000000" w:themeColor="text1"/>
          <w:sz w:val="28"/>
          <w:lang w:val="en-US" w:eastAsia="zh-CN"/>
          <w14:textFill>
            <w14:solidFill>
              <w14:schemeClr w14:val="tx1"/>
            </w14:solidFill>
          </w14:textFill>
        </w:rPr>
        <w:t>在</w:t>
      </w:r>
      <w:r>
        <w:rPr>
          <w:rFonts w:hint="eastAsia" w:ascii="Times New Roman" w:cs="Times New Roman" w:eastAsiaTheme="minorEastAsia"/>
          <w:color w:val="000000" w:themeColor="text1"/>
          <w:sz w:val="28"/>
          <w:lang w:val="en-US" w:eastAsia="zh-CN"/>
          <w14:textFill>
            <w14:solidFill>
              <w14:schemeClr w14:val="tx1"/>
            </w14:solidFill>
          </w14:textFill>
        </w:rPr>
        <w:t>东</w:t>
      </w:r>
      <w:r>
        <w:rPr>
          <w:rFonts w:hint="default" w:ascii="Times New Roman" w:hAnsi="Times New Roman" w:cs="Times New Roman" w:eastAsiaTheme="minorEastAsia"/>
          <w:color w:val="000000" w:themeColor="text1"/>
          <w:sz w:val="28"/>
          <w:lang w:val="en-US" w:eastAsia="zh-CN"/>
          <w14:textFill>
            <w14:solidFill>
              <w14:schemeClr w14:val="tx1"/>
            </w14:solidFill>
          </w14:textFill>
        </w:rPr>
        <w:t>侧中部设置1个出入口，横向设置主道路通往生产区域</w:t>
      </w:r>
      <w:r>
        <w:rPr>
          <w:rFonts w:hint="eastAsia" w:ascii="Times New Roman" w:cs="Times New Roman" w:eastAsiaTheme="minorEastAsia"/>
          <w:color w:val="000000" w:themeColor="text1"/>
          <w:sz w:val="28"/>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8"/>
          <w:lang w:val="en-US" w:eastAsia="zh-CN"/>
          <w14:textFill>
            <w14:solidFill>
              <w14:schemeClr w14:val="tx1"/>
            </w14:solidFill>
          </w14:textFill>
        </w:rPr>
        <w:t>区域内的现有道路实现了整个厂区的贯通，厂内道路道宽约6米，为混凝土路面。</w:t>
      </w:r>
    </w:p>
    <w:p w14:paraId="71501FE6">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67" w:name="_Toc27078"/>
      <w:bookmarkStart w:id="168" w:name="_Toc31726"/>
      <w:bookmarkStart w:id="169" w:name="_Toc12134"/>
      <w:bookmarkStart w:id="170" w:name="_Toc3421"/>
      <w:bookmarkStart w:id="171" w:name="_Toc309682407"/>
      <w:bookmarkStart w:id="172" w:name="_Toc278151349"/>
      <w:bookmarkStart w:id="173" w:name="_Toc327017742"/>
      <w:bookmarkStart w:id="174" w:name="_Toc335926148"/>
      <w:bookmarkStart w:id="175" w:name="_Toc29783"/>
      <w:bookmarkStart w:id="176" w:name="_Toc27605"/>
      <w:bookmarkStart w:id="177" w:name="_Toc313453459"/>
      <w:r>
        <w:rPr>
          <w:rFonts w:hint="default" w:ascii="Times New Roman" w:hAnsi="Times New Roman" w:eastAsia="黑体"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3</w:t>
      </w:r>
      <w:r>
        <w:rPr>
          <w:rFonts w:hint="default" w:ascii="Times New Roman" w:hAnsi="Times New Roman" w:eastAsia="黑体"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3 </w:t>
      </w:r>
      <w:r>
        <w:rPr>
          <w:rFonts w:hint="default" w:ascii="Times New Roman" w:hAnsi="Times New Roman" w:eastAsia="黑体" w:cs="Times New Roman"/>
          <w:color w:val="000000" w:themeColor="text1"/>
          <w14:textFill>
            <w14:solidFill>
              <w14:schemeClr w14:val="tx1"/>
            </w14:solidFill>
          </w14:textFill>
        </w:rPr>
        <w:t>厂</w:t>
      </w:r>
      <w:bookmarkEnd w:id="167"/>
      <w:r>
        <w:rPr>
          <w:rFonts w:hint="default" w:ascii="Times New Roman" w:hAnsi="Times New Roman" w:eastAsia="黑体" w:cs="Times New Roman"/>
          <w:color w:val="000000" w:themeColor="text1"/>
          <w14:textFill>
            <w14:solidFill>
              <w14:schemeClr w14:val="tx1"/>
            </w14:solidFill>
          </w14:textFill>
        </w:rPr>
        <w:t>外运输</w:t>
      </w:r>
      <w:bookmarkEnd w:id="168"/>
      <w:bookmarkEnd w:id="169"/>
    </w:p>
    <w:p w14:paraId="0F0BB20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Times New Roman"/>
          <w:color w:val="000000" w:themeColor="text1"/>
          <w:sz w:val="28"/>
          <w:szCs w:val="28"/>
          <w:lang w:val="en-US" w:eastAsia="zh-CN"/>
          <w14:textFill>
            <w14:solidFill>
              <w14:schemeClr w14:val="tx1"/>
            </w14:solidFill>
          </w14:textFill>
        </w:rPr>
      </w:pPr>
      <w:r>
        <w:rPr>
          <w:rFonts w:hint="eastAsia" w:ascii="宋体" w:hAnsi="宋体" w:eastAsia="宋体" w:cs="Times New Roman"/>
          <w:color w:val="000000" w:themeColor="text1"/>
          <w:sz w:val="28"/>
          <w:szCs w:val="28"/>
          <w:lang w:val="en-US" w:eastAsia="zh-CN"/>
          <w14:textFill>
            <w14:solidFill>
              <w14:schemeClr w14:val="tx1"/>
            </w14:solidFill>
          </w14:textFill>
        </w:rPr>
        <w:t>厂外运输主要是原料的运输和产品的运输，以社会运输力量为主。</w:t>
      </w:r>
      <w:bookmarkEnd w:id="170"/>
    </w:p>
    <w:p w14:paraId="6BF28C48">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178" w:name="_Toc2197"/>
      <w:r>
        <w:rPr>
          <w:rFonts w:hint="default" w:ascii="Times New Roman" w:hAnsi="Times New Roman" w:eastAsia="楷体" w:cs="Times New Roman"/>
          <w:color w:val="000000" w:themeColor="text1"/>
          <w14:textFill>
            <w14:solidFill>
              <w14:schemeClr w14:val="tx1"/>
            </w14:solidFill>
          </w14:textFill>
        </w:rPr>
        <w:t>2.4</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生产</w:t>
      </w:r>
      <w:bookmarkEnd w:id="171"/>
      <w:bookmarkEnd w:id="172"/>
      <w:bookmarkEnd w:id="173"/>
      <w:bookmarkEnd w:id="174"/>
      <w:bookmarkEnd w:id="175"/>
      <w:r>
        <w:rPr>
          <w:rFonts w:hint="default" w:ascii="Times New Roman" w:hAnsi="Times New Roman" w:eastAsia="楷体" w:cs="Times New Roman"/>
          <w:color w:val="000000" w:themeColor="text1"/>
          <w14:textFill>
            <w14:solidFill>
              <w14:schemeClr w14:val="tx1"/>
            </w14:solidFill>
          </w14:textFill>
        </w:rPr>
        <w:t>工艺</w:t>
      </w:r>
      <w:bookmarkEnd w:id="176"/>
      <w:bookmarkEnd w:id="178"/>
    </w:p>
    <w:bookmarkEnd w:id="177"/>
    <w:p w14:paraId="3A1C7566">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79" w:name="_Toc18735"/>
      <w:bookmarkStart w:id="180" w:name="_Toc16058"/>
      <w:r>
        <w:rPr>
          <w:rFonts w:hint="default" w:ascii="Times New Roman" w:hAnsi="Times New Roman" w:eastAsia="黑体" w:cs="Times New Roman"/>
          <w:color w:val="000000" w:themeColor="text1"/>
          <w14:textFill>
            <w14:solidFill>
              <w14:schemeClr w14:val="tx1"/>
            </w14:solidFill>
          </w14:textFill>
        </w:rPr>
        <w:t>2.4.1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生产规模及产品</w:t>
      </w:r>
      <w:bookmarkEnd w:id="179"/>
      <w:bookmarkEnd w:id="180"/>
    </w:p>
    <w:p w14:paraId="091D1CD4">
      <w:pPr>
        <w:pStyle w:val="325"/>
        <w:keepNext w:val="0"/>
        <w:keepLines w:val="0"/>
        <w:pageBreakBefore w:val="0"/>
        <w:widowControl w:val="0"/>
        <w:kinsoku/>
        <w:wordWrap/>
        <w:overflowPunct/>
        <w:topLinePunct w:val="0"/>
        <w:autoSpaceDE/>
        <w:autoSpaceDN/>
        <w:bidi w:val="0"/>
        <w:adjustRightInd/>
        <w:snapToGrid/>
        <w:spacing w:after="0" w:line="520" w:lineRule="exact"/>
        <w:ind w:firstLine="560" w:firstLineChars="200"/>
        <w:jc w:val="both"/>
        <w:textAlignment w:val="baseline"/>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产品：</w:t>
      </w:r>
      <w:r>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t>页岩砖</w:t>
      </w:r>
    </w:p>
    <w:p w14:paraId="3E985D6F">
      <w:pPr>
        <w:pStyle w:val="325"/>
        <w:keepNext w:val="0"/>
        <w:keepLines w:val="0"/>
        <w:pageBreakBefore w:val="0"/>
        <w:widowControl w:val="0"/>
        <w:kinsoku/>
        <w:wordWrap/>
        <w:overflowPunct/>
        <w:topLinePunct w:val="0"/>
        <w:autoSpaceDE/>
        <w:autoSpaceDN/>
        <w:bidi w:val="0"/>
        <w:adjustRightInd/>
        <w:snapToGrid/>
        <w:spacing w:after="0" w:line="520" w:lineRule="exact"/>
        <w:ind w:firstLine="560" w:firstLineChars="200"/>
        <w:jc w:val="both"/>
        <w:textAlignment w:val="baseline"/>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pPr>
      <w:r>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t>生产规模：</w:t>
      </w:r>
      <w:r>
        <w:rPr>
          <w:rFonts w:hint="default" w:ascii="Times New Roman" w:hAnsi="Times New Roman" w:cs="Times New Roman" w:eastAsiaTheme="minorEastAsia"/>
          <w:color w:val="000000" w:themeColor="text1"/>
          <w:sz w:val="28"/>
          <w:szCs w:val="28"/>
          <w14:textFill>
            <w14:solidFill>
              <w14:schemeClr w14:val="tx1"/>
            </w14:solidFill>
          </w14:textFill>
        </w:rPr>
        <w:t>年产</w:t>
      </w:r>
      <w:r>
        <w:rPr>
          <w:rFonts w:hint="eastAsia" w:cs="Times New Roman" w:eastAsiaTheme="minorEastAsia"/>
          <w:color w:val="000000" w:themeColor="text1"/>
          <w:sz w:val="28"/>
          <w:szCs w:val="28"/>
          <w:lang w:val="en-US" w:eastAsia="zh-CN"/>
          <w14:textFill>
            <w14:solidFill>
              <w14:schemeClr w14:val="tx1"/>
            </w14:solidFill>
          </w14:textFill>
        </w:rPr>
        <w:t>9</w:t>
      </w:r>
      <w:r>
        <w:rPr>
          <w:rFonts w:hint="default" w:ascii="Times New Roman" w:hAnsi="Times New Roman" w:cs="Times New Roman" w:eastAsiaTheme="minorEastAsia"/>
          <w:color w:val="000000" w:themeColor="text1"/>
          <w:sz w:val="28"/>
          <w:szCs w:val="28"/>
          <w14:textFill>
            <w14:solidFill>
              <w14:schemeClr w14:val="tx1"/>
            </w14:solidFill>
          </w14:textFill>
        </w:rPr>
        <w:t>000万块标砖。</w:t>
      </w:r>
    </w:p>
    <w:p w14:paraId="72A65C85">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81" w:name="_Toc30698"/>
      <w:bookmarkStart w:id="182" w:name="_Toc17773"/>
      <w:r>
        <w:rPr>
          <w:rFonts w:hint="default" w:ascii="Times New Roman" w:hAnsi="Times New Roman" w:eastAsia="黑体" w:cs="Times New Roman"/>
          <w:color w:val="000000" w:themeColor="text1"/>
          <w14:textFill>
            <w14:solidFill>
              <w14:schemeClr w14:val="tx1"/>
            </w14:solidFill>
          </w14:textFill>
        </w:rPr>
        <w:t>2.4.2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主要原辅料及能耗</w:t>
      </w:r>
      <w:bookmarkEnd w:id="181"/>
      <w:bookmarkEnd w:id="182"/>
    </w:p>
    <w:p w14:paraId="007DB367">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使用的原辅料及产品情况</w:t>
      </w:r>
      <w:r>
        <w:rPr>
          <w:rFonts w:hint="eastAsia" w:ascii="宋体" w:hAnsi="宋体" w:eastAsia="宋体" w:cs="宋体"/>
          <w:color w:val="000000" w:themeColor="text1"/>
          <w:spacing w:val="-8"/>
          <w:sz w:val="28"/>
          <w:szCs w:val="28"/>
          <w14:textFill>
            <w14:solidFill>
              <w14:schemeClr w14:val="tx1"/>
            </w14:solidFill>
          </w14:textFill>
        </w:rPr>
        <w:t>详见表2-1。</w:t>
      </w:r>
    </w:p>
    <w:p w14:paraId="3F190630">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spacing w:val="-8"/>
          <w14:textFill>
            <w14:solidFill>
              <w14:schemeClr w14:val="tx1"/>
            </w14:solidFill>
          </w14:textFill>
        </w:rPr>
      </w:pPr>
      <w:r>
        <w:rPr>
          <w:rFonts w:hint="eastAsia" w:ascii="宋体" w:hAnsi="宋体" w:eastAsia="宋体" w:cs="宋体"/>
          <w:b/>
          <w:bCs/>
          <w:color w:val="000000" w:themeColor="text1"/>
          <w:spacing w:val="-8"/>
          <w14:textFill>
            <w14:solidFill>
              <w14:schemeClr w14:val="tx1"/>
            </w14:solidFill>
          </w14:textFill>
        </w:rPr>
        <w:t>表2-1   主要</w:t>
      </w:r>
      <w:r>
        <w:rPr>
          <w:rFonts w:hint="eastAsia" w:ascii="宋体" w:hAnsi="宋体" w:eastAsia="宋体" w:cs="宋体"/>
          <w:b/>
          <w:bCs/>
          <w:color w:val="000000" w:themeColor="text1"/>
          <w:spacing w:val="-8"/>
          <w:lang w:val="en-US" w:eastAsia="zh-CN"/>
          <w14:textFill>
            <w14:solidFill>
              <w14:schemeClr w14:val="tx1"/>
            </w14:solidFill>
          </w14:textFill>
        </w:rPr>
        <w:t>生产</w:t>
      </w:r>
      <w:r>
        <w:rPr>
          <w:rFonts w:hint="eastAsia" w:ascii="宋体" w:hAnsi="宋体" w:eastAsia="宋体" w:cs="宋体"/>
          <w:b/>
          <w:bCs/>
          <w:color w:val="000000" w:themeColor="text1"/>
          <w:spacing w:val="-8"/>
          <w14:textFill>
            <w14:solidFill>
              <w14:schemeClr w14:val="tx1"/>
            </w14:solidFill>
          </w14:textFill>
        </w:rPr>
        <w:t>原辅料</w:t>
      </w:r>
      <w:r>
        <w:rPr>
          <w:rFonts w:hint="eastAsia" w:ascii="宋体" w:hAnsi="宋体" w:eastAsia="宋体" w:cs="宋体"/>
          <w:b/>
          <w:bCs/>
          <w:color w:val="000000" w:themeColor="text1"/>
          <w:spacing w:val="-8"/>
          <w:lang w:eastAsia="zh-CN"/>
          <w14:textFill>
            <w14:solidFill>
              <w14:schemeClr w14:val="tx1"/>
            </w14:solidFill>
          </w14:textFill>
        </w:rPr>
        <w:t>消耗表</w:t>
      </w:r>
    </w:p>
    <w:tbl>
      <w:tblPr>
        <w:tblStyle w:val="51"/>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64"/>
        <w:gridCol w:w="1389"/>
        <w:gridCol w:w="597"/>
        <w:gridCol w:w="743"/>
        <w:gridCol w:w="2974"/>
        <w:gridCol w:w="1309"/>
        <w:gridCol w:w="746"/>
      </w:tblGrid>
      <w:tr w14:paraId="6DD37F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2" w:hRule="atLeast"/>
          <w:jc w:val="center"/>
        </w:trPr>
        <w:tc>
          <w:tcPr>
            <w:tcW w:w="764" w:type="dxa"/>
            <w:tcBorders>
              <w:tl2br w:val="nil"/>
              <w:tr2bl w:val="nil"/>
            </w:tcBorders>
            <w:noWrap w:val="0"/>
            <w:vAlign w:val="center"/>
          </w:tcPr>
          <w:p w14:paraId="691657A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1389" w:type="dxa"/>
            <w:tcBorders>
              <w:tl2br w:val="nil"/>
              <w:tr2bl w:val="nil"/>
            </w:tcBorders>
            <w:noWrap w:val="0"/>
            <w:vAlign w:val="center"/>
          </w:tcPr>
          <w:p w14:paraId="27629D6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原辅料名称</w:t>
            </w:r>
          </w:p>
        </w:tc>
        <w:tc>
          <w:tcPr>
            <w:tcW w:w="0" w:type="auto"/>
            <w:tcBorders>
              <w:tl2br w:val="nil"/>
              <w:tr2bl w:val="nil"/>
            </w:tcBorders>
            <w:noWrap w:val="0"/>
            <w:vAlign w:val="center"/>
          </w:tcPr>
          <w:p w14:paraId="736F304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单位</w:t>
            </w:r>
          </w:p>
        </w:tc>
        <w:tc>
          <w:tcPr>
            <w:tcW w:w="0" w:type="auto"/>
            <w:tcBorders>
              <w:tl2br w:val="nil"/>
              <w:tr2bl w:val="nil"/>
            </w:tcBorders>
            <w:noWrap w:val="0"/>
            <w:vAlign w:val="center"/>
          </w:tcPr>
          <w:p w14:paraId="28F18A4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年</w:t>
            </w:r>
            <w:r>
              <w:rPr>
                <w:rFonts w:hint="eastAsia" w:ascii="宋体" w:hAnsi="宋体" w:eastAsia="宋体" w:cs="宋体"/>
                <w:b/>
                <w:bCs/>
                <w:color w:val="000000" w:themeColor="text1"/>
                <w:sz w:val="21"/>
                <w:szCs w:val="21"/>
                <w:lang w:val="en-US" w:eastAsia="zh-CN"/>
                <w14:textFill>
                  <w14:solidFill>
                    <w14:schemeClr w14:val="tx1"/>
                  </w14:solidFill>
                </w14:textFill>
              </w:rPr>
              <w:t>使用量</w:t>
            </w:r>
          </w:p>
        </w:tc>
        <w:tc>
          <w:tcPr>
            <w:tcW w:w="2974" w:type="dxa"/>
            <w:tcBorders>
              <w:tl2br w:val="nil"/>
              <w:tr2bl w:val="nil"/>
            </w:tcBorders>
            <w:noWrap w:val="0"/>
            <w:vAlign w:val="center"/>
          </w:tcPr>
          <w:p w14:paraId="358CE64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themeColor="text1"/>
                <w:sz w:val="21"/>
                <w:szCs w:val="21"/>
                <w:lang w:val="en-US" w:eastAsia="zh-CN" w:bidi="ar-SA"/>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来源</w:t>
            </w:r>
          </w:p>
        </w:tc>
        <w:tc>
          <w:tcPr>
            <w:tcW w:w="1309" w:type="dxa"/>
            <w:tcBorders>
              <w:tl2br w:val="nil"/>
              <w:tr2bl w:val="nil"/>
            </w:tcBorders>
            <w:noWrap w:val="0"/>
            <w:vAlign w:val="center"/>
          </w:tcPr>
          <w:p w14:paraId="086BAE0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贮存方式</w:t>
            </w:r>
          </w:p>
        </w:tc>
        <w:tc>
          <w:tcPr>
            <w:tcW w:w="746" w:type="dxa"/>
            <w:tcBorders>
              <w:tl2br w:val="nil"/>
              <w:tr2bl w:val="nil"/>
            </w:tcBorders>
            <w:noWrap w:val="0"/>
            <w:vAlign w:val="center"/>
          </w:tcPr>
          <w:p w14:paraId="4B3BA49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备注</w:t>
            </w:r>
          </w:p>
        </w:tc>
      </w:tr>
      <w:tr w14:paraId="5E1C40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3" w:hRule="atLeast"/>
          <w:jc w:val="center"/>
        </w:trPr>
        <w:tc>
          <w:tcPr>
            <w:tcW w:w="764" w:type="dxa"/>
            <w:tcBorders>
              <w:tl2br w:val="nil"/>
              <w:tr2bl w:val="nil"/>
            </w:tcBorders>
            <w:noWrap w:val="0"/>
            <w:vAlign w:val="center"/>
          </w:tcPr>
          <w:p w14:paraId="0A2D3EE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1</w:t>
            </w:r>
          </w:p>
        </w:tc>
        <w:tc>
          <w:tcPr>
            <w:tcW w:w="1389" w:type="dxa"/>
            <w:tcBorders>
              <w:tl2br w:val="nil"/>
              <w:tr2bl w:val="nil"/>
            </w:tcBorders>
            <w:noWrap w:val="0"/>
            <w:vAlign w:val="center"/>
          </w:tcPr>
          <w:p w14:paraId="5C9AF0D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渣土</w:t>
            </w:r>
          </w:p>
        </w:tc>
        <w:tc>
          <w:tcPr>
            <w:tcW w:w="0" w:type="auto"/>
            <w:tcBorders>
              <w:tl2br w:val="nil"/>
              <w:tr2bl w:val="nil"/>
            </w:tcBorders>
            <w:noWrap w:val="0"/>
            <w:vAlign w:val="center"/>
          </w:tcPr>
          <w:p w14:paraId="0D75F3C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kern w:val="2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万t/a</w:t>
            </w:r>
          </w:p>
        </w:tc>
        <w:tc>
          <w:tcPr>
            <w:tcW w:w="0" w:type="auto"/>
            <w:tcBorders>
              <w:tl2br w:val="nil"/>
              <w:tr2bl w:val="nil"/>
            </w:tcBorders>
            <w:noWrap w:val="0"/>
            <w:vAlign w:val="center"/>
          </w:tcPr>
          <w:p w14:paraId="6989001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p>
        </w:tc>
        <w:tc>
          <w:tcPr>
            <w:tcW w:w="2974" w:type="dxa"/>
            <w:tcBorders>
              <w:tl2br w:val="nil"/>
              <w:tr2bl w:val="nil"/>
            </w:tcBorders>
            <w:noWrap w:val="0"/>
            <w:vAlign w:val="center"/>
          </w:tcPr>
          <w:p w14:paraId="4ACA47D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牟定县县城</w:t>
            </w:r>
          </w:p>
        </w:tc>
        <w:tc>
          <w:tcPr>
            <w:tcW w:w="1309" w:type="dxa"/>
            <w:tcBorders>
              <w:tl2br w:val="nil"/>
              <w:tr2bl w:val="nil"/>
            </w:tcBorders>
            <w:noWrap w:val="0"/>
            <w:vAlign w:val="center"/>
          </w:tcPr>
          <w:p w14:paraId="70C594B6">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原料堆场</w:t>
            </w:r>
          </w:p>
        </w:tc>
        <w:tc>
          <w:tcPr>
            <w:tcW w:w="746" w:type="dxa"/>
            <w:tcBorders>
              <w:tl2br w:val="nil"/>
              <w:tr2bl w:val="nil"/>
            </w:tcBorders>
            <w:noWrap w:val="0"/>
            <w:vAlign w:val="center"/>
          </w:tcPr>
          <w:p w14:paraId="4A07435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p>
        </w:tc>
      </w:tr>
      <w:tr w14:paraId="116E09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64" w:type="dxa"/>
            <w:tcBorders>
              <w:tl2br w:val="nil"/>
              <w:tr2bl w:val="nil"/>
            </w:tcBorders>
            <w:noWrap w:val="0"/>
            <w:vAlign w:val="center"/>
          </w:tcPr>
          <w:p w14:paraId="00BF33B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389" w:type="dxa"/>
            <w:tcBorders>
              <w:tl2br w:val="nil"/>
              <w:tr2bl w:val="nil"/>
            </w:tcBorders>
            <w:noWrap w:val="0"/>
            <w:vAlign w:val="center"/>
          </w:tcPr>
          <w:p w14:paraId="7510AF8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煤矸石</w:t>
            </w:r>
          </w:p>
        </w:tc>
        <w:tc>
          <w:tcPr>
            <w:tcW w:w="0" w:type="auto"/>
            <w:tcBorders>
              <w:tl2br w:val="nil"/>
              <w:tr2bl w:val="nil"/>
            </w:tcBorders>
            <w:noWrap w:val="0"/>
            <w:vAlign w:val="center"/>
          </w:tcPr>
          <w:p w14:paraId="1DD6E58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kern w:val="2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t/a</w:t>
            </w:r>
          </w:p>
        </w:tc>
        <w:tc>
          <w:tcPr>
            <w:tcW w:w="0" w:type="auto"/>
            <w:tcBorders>
              <w:tl2br w:val="nil"/>
              <w:tr2bl w:val="nil"/>
            </w:tcBorders>
            <w:noWrap w:val="0"/>
            <w:vAlign w:val="center"/>
          </w:tcPr>
          <w:p w14:paraId="177C75A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5000</w:t>
            </w:r>
          </w:p>
        </w:tc>
        <w:tc>
          <w:tcPr>
            <w:tcW w:w="2974" w:type="dxa"/>
            <w:tcBorders>
              <w:tl2br w:val="nil"/>
              <w:tr2bl w:val="nil"/>
            </w:tcBorders>
            <w:noWrap w:val="0"/>
            <w:vAlign w:val="center"/>
          </w:tcPr>
          <w:p w14:paraId="26BF0BE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外购</w:t>
            </w:r>
          </w:p>
        </w:tc>
        <w:tc>
          <w:tcPr>
            <w:tcW w:w="1309" w:type="dxa"/>
            <w:tcBorders>
              <w:tl2br w:val="nil"/>
              <w:tr2bl w:val="nil"/>
            </w:tcBorders>
            <w:noWrap w:val="0"/>
            <w:vAlign w:val="center"/>
          </w:tcPr>
          <w:p w14:paraId="30A32A45">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原辅料堆场</w:t>
            </w:r>
          </w:p>
        </w:tc>
        <w:tc>
          <w:tcPr>
            <w:tcW w:w="746" w:type="dxa"/>
            <w:tcBorders>
              <w:tl2br w:val="nil"/>
              <w:tr2bl w:val="nil"/>
            </w:tcBorders>
            <w:noWrap w:val="0"/>
            <w:vAlign w:val="center"/>
          </w:tcPr>
          <w:p w14:paraId="5C8E5BE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30E832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64" w:type="dxa"/>
            <w:tcBorders>
              <w:tl2br w:val="nil"/>
              <w:tr2bl w:val="nil"/>
            </w:tcBorders>
            <w:noWrap w:val="0"/>
            <w:vAlign w:val="center"/>
          </w:tcPr>
          <w:p w14:paraId="2185486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1389" w:type="dxa"/>
            <w:tcBorders>
              <w:tl2br w:val="nil"/>
              <w:tr2bl w:val="nil"/>
            </w:tcBorders>
            <w:shd w:val="clear" w:color="auto" w:fill="auto"/>
            <w:noWrap w:val="0"/>
            <w:vAlign w:val="center"/>
          </w:tcPr>
          <w:p w14:paraId="62FFED41">
            <w:pPr>
              <w:spacing w:line="300" w:lineRule="exact"/>
              <w:ind w:firstLine="0" w:firstLineChars="0"/>
              <w:jc w:val="center"/>
              <w:rPr>
                <w:rFonts w:hint="eastAsia" w:ascii="宋体" w:hAnsi="宋体" w:eastAsia="宋体" w:cs="宋体"/>
                <w:b/>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石灰</w:t>
            </w:r>
          </w:p>
        </w:tc>
        <w:tc>
          <w:tcPr>
            <w:tcW w:w="0" w:type="auto"/>
            <w:tcBorders>
              <w:tl2br w:val="nil"/>
              <w:tr2bl w:val="nil"/>
            </w:tcBorders>
            <w:shd w:val="clear" w:color="auto" w:fill="auto"/>
            <w:noWrap w:val="0"/>
            <w:vAlign w:val="center"/>
          </w:tcPr>
          <w:p w14:paraId="18C587AF">
            <w:pPr>
              <w:spacing w:line="300" w:lineRule="exact"/>
              <w:ind w:firstLine="0" w:firstLineChars="0"/>
              <w:jc w:val="center"/>
              <w:rPr>
                <w:rFonts w:hint="eastAsia" w:ascii="宋体" w:hAnsi="宋体" w:eastAsia="宋体" w:cs="宋体"/>
                <w:b/>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t/a</w:t>
            </w:r>
          </w:p>
        </w:tc>
        <w:tc>
          <w:tcPr>
            <w:tcW w:w="0" w:type="auto"/>
            <w:tcBorders>
              <w:tl2br w:val="nil"/>
              <w:tr2bl w:val="nil"/>
            </w:tcBorders>
            <w:shd w:val="clear" w:color="auto" w:fill="auto"/>
            <w:noWrap w:val="0"/>
            <w:vAlign w:val="center"/>
          </w:tcPr>
          <w:p w14:paraId="1AE2161F">
            <w:pPr>
              <w:spacing w:line="300" w:lineRule="exact"/>
              <w:ind w:firstLine="0" w:firstLineChars="0"/>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120</w:t>
            </w:r>
          </w:p>
        </w:tc>
        <w:tc>
          <w:tcPr>
            <w:tcW w:w="2974" w:type="dxa"/>
            <w:tcBorders>
              <w:tl2br w:val="nil"/>
              <w:tr2bl w:val="nil"/>
            </w:tcBorders>
            <w:shd w:val="clear" w:color="auto" w:fill="auto"/>
            <w:noWrap w:val="0"/>
            <w:vAlign w:val="center"/>
          </w:tcPr>
          <w:p w14:paraId="37429FC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外购</w:t>
            </w:r>
          </w:p>
        </w:tc>
        <w:tc>
          <w:tcPr>
            <w:tcW w:w="1309" w:type="dxa"/>
            <w:tcBorders>
              <w:tl2br w:val="nil"/>
              <w:tr2bl w:val="nil"/>
            </w:tcBorders>
            <w:shd w:val="clear" w:color="auto" w:fill="auto"/>
            <w:noWrap w:val="0"/>
            <w:vAlign w:val="center"/>
          </w:tcPr>
          <w:p w14:paraId="0BDB6611">
            <w:pPr>
              <w:spacing w:line="300" w:lineRule="exact"/>
              <w:ind w:firstLine="0" w:firstLineChars="0"/>
              <w:jc w:val="center"/>
              <w:rPr>
                <w:rFonts w:hint="eastAsia" w:ascii="宋体" w:hAnsi="宋体" w:eastAsia="宋体" w:cs="宋体"/>
                <w:b/>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脱硫塔旁</w:t>
            </w:r>
          </w:p>
        </w:tc>
        <w:tc>
          <w:tcPr>
            <w:tcW w:w="746" w:type="dxa"/>
            <w:tcBorders>
              <w:tl2br w:val="nil"/>
              <w:tr2bl w:val="nil"/>
            </w:tcBorders>
            <w:noWrap w:val="0"/>
            <w:vAlign w:val="center"/>
          </w:tcPr>
          <w:p w14:paraId="094E133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6373D9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64" w:type="dxa"/>
            <w:tcBorders>
              <w:tl2br w:val="nil"/>
              <w:tr2bl w:val="nil"/>
            </w:tcBorders>
            <w:noWrap w:val="0"/>
            <w:vAlign w:val="center"/>
          </w:tcPr>
          <w:p w14:paraId="5E1B449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1389" w:type="dxa"/>
            <w:tcBorders>
              <w:tl2br w:val="nil"/>
              <w:tr2bl w:val="nil"/>
            </w:tcBorders>
            <w:shd w:val="clear" w:color="auto" w:fill="auto"/>
            <w:noWrap w:val="0"/>
            <w:vAlign w:val="center"/>
          </w:tcPr>
          <w:p w14:paraId="20424A4B">
            <w:pPr>
              <w:spacing w:line="300" w:lineRule="exact"/>
              <w:ind w:firstLine="0" w:firstLineChars="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NaOH</w:t>
            </w:r>
          </w:p>
        </w:tc>
        <w:tc>
          <w:tcPr>
            <w:tcW w:w="0" w:type="auto"/>
            <w:tcBorders>
              <w:tl2br w:val="nil"/>
              <w:tr2bl w:val="nil"/>
            </w:tcBorders>
            <w:shd w:val="clear" w:color="auto" w:fill="auto"/>
            <w:noWrap w:val="0"/>
            <w:vAlign w:val="center"/>
          </w:tcPr>
          <w:p w14:paraId="267F6B2F">
            <w:pPr>
              <w:spacing w:line="300" w:lineRule="exact"/>
              <w:ind w:firstLine="0" w:firstLineChars="0"/>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t/a</w:t>
            </w:r>
          </w:p>
        </w:tc>
        <w:tc>
          <w:tcPr>
            <w:tcW w:w="0" w:type="auto"/>
            <w:tcBorders>
              <w:tl2br w:val="nil"/>
              <w:tr2bl w:val="nil"/>
            </w:tcBorders>
            <w:shd w:val="clear" w:color="auto" w:fill="auto"/>
            <w:noWrap w:val="0"/>
            <w:vAlign w:val="center"/>
          </w:tcPr>
          <w:p w14:paraId="77CB4864">
            <w:pPr>
              <w:spacing w:line="300" w:lineRule="exact"/>
              <w:ind w:firstLine="0" w:firstLineChars="0"/>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2</w:t>
            </w:r>
          </w:p>
        </w:tc>
        <w:tc>
          <w:tcPr>
            <w:tcW w:w="2974" w:type="dxa"/>
            <w:tcBorders>
              <w:tl2br w:val="nil"/>
              <w:tr2bl w:val="nil"/>
            </w:tcBorders>
            <w:shd w:val="clear" w:color="auto" w:fill="auto"/>
            <w:noWrap w:val="0"/>
            <w:vAlign w:val="center"/>
          </w:tcPr>
          <w:p w14:paraId="41FC2B9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外购</w:t>
            </w:r>
          </w:p>
        </w:tc>
        <w:tc>
          <w:tcPr>
            <w:tcW w:w="1309" w:type="dxa"/>
            <w:tcBorders>
              <w:tl2br w:val="nil"/>
              <w:tr2bl w:val="nil"/>
            </w:tcBorders>
            <w:shd w:val="clear" w:color="auto" w:fill="auto"/>
            <w:noWrap w:val="0"/>
            <w:vAlign w:val="center"/>
          </w:tcPr>
          <w:p w14:paraId="619831B1">
            <w:pPr>
              <w:spacing w:line="300" w:lineRule="exact"/>
              <w:ind w:firstLine="0" w:firstLineChars="0"/>
              <w:jc w:val="center"/>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脱硫塔旁</w:t>
            </w:r>
          </w:p>
        </w:tc>
        <w:tc>
          <w:tcPr>
            <w:tcW w:w="746" w:type="dxa"/>
            <w:tcBorders>
              <w:tl2br w:val="nil"/>
              <w:tr2bl w:val="nil"/>
            </w:tcBorders>
            <w:noWrap w:val="0"/>
            <w:vAlign w:val="center"/>
          </w:tcPr>
          <w:p w14:paraId="2179F90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14:textFill>
                  <w14:solidFill>
                    <w14:schemeClr w14:val="tx1"/>
                  </w14:solidFill>
                </w14:textFill>
              </w:rPr>
            </w:pPr>
          </w:p>
        </w:tc>
      </w:tr>
    </w:tbl>
    <w:p w14:paraId="74F03495">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83" w:name="_Toc313453465"/>
      <w:bookmarkStart w:id="184" w:name="_Toc10672"/>
      <w:bookmarkStart w:id="185" w:name="_Toc335926151"/>
      <w:bookmarkStart w:id="186" w:name="_Toc32361"/>
      <w:bookmarkStart w:id="187" w:name="_Toc24061"/>
      <w:r>
        <w:rPr>
          <w:rFonts w:hint="default" w:ascii="Times New Roman" w:hAnsi="Times New Roman" w:eastAsia="黑体" w:cs="Times New Roman"/>
          <w:color w:val="000000" w:themeColor="text1"/>
          <w14:textFill>
            <w14:solidFill>
              <w14:schemeClr w14:val="tx1"/>
            </w14:solidFill>
          </w14:textFill>
        </w:rPr>
        <w:t>2.4.3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生产工艺</w:t>
      </w:r>
      <w:bookmarkEnd w:id="183"/>
      <w:r>
        <w:rPr>
          <w:rFonts w:hint="default" w:ascii="Times New Roman" w:hAnsi="Times New Roman" w:eastAsia="黑体" w:cs="Times New Roman"/>
          <w:color w:val="000000" w:themeColor="text1"/>
          <w14:textFill>
            <w14:solidFill>
              <w14:schemeClr w14:val="tx1"/>
            </w14:solidFill>
          </w14:textFill>
        </w:rPr>
        <w:t>简述</w:t>
      </w:r>
      <w:bookmarkEnd w:id="184"/>
      <w:bookmarkEnd w:id="185"/>
      <w:bookmarkEnd w:id="186"/>
      <w:bookmarkEnd w:id="187"/>
    </w:p>
    <w:p w14:paraId="0A04065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生产工艺流程简述：</w:t>
      </w:r>
    </w:p>
    <w:p w14:paraId="22CC512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企业</w:t>
      </w:r>
      <w:r>
        <w:rPr>
          <w:rFonts w:hint="eastAsia" w:ascii="宋体" w:hAnsi="宋体" w:eastAsia="宋体" w:cs="宋体"/>
          <w:color w:val="000000" w:themeColor="text1"/>
          <w:sz w:val="28"/>
          <w:szCs w:val="28"/>
          <w14:textFill>
            <w14:solidFill>
              <w14:schemeClr w14:val="tx1"/>
            </w14:solidFill>
          </w14:textFill>
        </w:rPr>
        <w:t>生产烧结砖工艺主要包括原材料</w:t>
      </w:r>
      <w:r>
        <w:rPr>
          <w:rFonts w:hint="eastAsia" w:ascii="宋体" w:hAnsi="宋体" w:eastAsia="宋体" w:cs="宋体"/>
          <w:color w:val="000000" w:themeColor="text1"/>
          <w:sz w:val="28"/>
          <w:szCs w:val="28"/>
          <w:lang w:val="en-US" w:eastAsia="zh-CN"/>
          <w14:textFill>
            <w14:solidFill>
              <w14:schemeClr w14:val="tx1"/>
            </w14:solidFill>
          </w14:textFill>
        </w:rPr>
        <w:t>建筑垃圾渣土破碎、</w:t>
      </w:r>
      <w:r>
        <w:rPr>
          <w:rFonts w:hint="eastAsia" w:ascii="宋体" w:hAnsi="宋体" w:eastAsia="宋体" w:cs="宋体"/>
          <w:color w:val="000000" w:themeColor="text1"/>
          <w:sz w:val="28"/>
          <w:szCs w:val="28"/>
          <w:lang w:eastAsia="zh-CN"/>
          <w14:textFill>
            <w14:solidFill>
              <w14:schemeClr w14:val="tx1"/>
            </w14:solidFill>
          </w14:textFill>
        </w:rPr>
        <w:t>煤矸石、</w:t>
      </w:r>
      <w:r>
        <w:rPr>
          <w:rFonts w:hint="eastAsia" w:ascii="宋体" w:hAnsi="宋体" w:eastAsia="宋体" w:cs="宋体"/>
          <w:color w:val="000000" w:themeColor="text1"/>
          <w:sz w:val="28"/>
          <w:szCs w:val="28"/>
          <w:lang w:val="en-US" w:eastAsia="zh-CN"/>
          <w14:textFill>
            <w14:solidFill>
              <w14:schemeClr w14:val="tx1"/>
            </w14:solidFill>
          </w14:textFill>
        </w:rPr>
        <w:t>煤泥</w:t>
      </w:r>
      <w:r>
        <w:rPr>
          <w:rFonts w:hint="eastAsia" w:ascii="宋体" w:hAnsi="宋体" w:eastAsia="宋体" w:cs="宋体"/>
          <w:color w:val="000000" w:themeColor="text1"/>
          <w:sz w:val="28"/>
          <w:szCs w:val="28"/>
          <w:lang w:eastAsia="zh-CN"/>
          <w14:textFill>
            <w14:solidFill>
              <w14:schemeClr w14:val="tx1"/>
            </w14:solidFill>
          </w14:textFill>
        </w:rPr>
        <w:t>破碎、</w:t>
      </w:r>
      <w:r>
        <w:rPr>
          <w:rFonts w:hint="eastAsia" w:ascii="宋体" w:hAnsi="宋体" w:eastAsia="宋体" w:cs="宋体"/>
          <w:color w:val="000000" w:themeColor="text1"/>
          <w:sz w:val="28"/>
          <w:szCs w:val="28"/>
          <w:lang w:val="en-US" w:eastAsia="zh-CN"/>
          <w14:textFill>
            <w14:solidFill>
              <w14:schemeClr w14:val="tx1"/>
            </w14:solidFill>
          </w14:textFill>
        </w:rPr>
        <w:t>原料陈化处理</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成型及切码运</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干燥与焙烧</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成品打包、</w:t>
      </w:r>
      <w:r>
        <w:rPr>
          <w:rFonts w:hint="eastAsia" w:ascii="宋体" w:hAnsi="宋体" w:eastAsia="宋体" w:cs="宋体"/>
          <w:color w:val="000000" w:themeColor="text1"/>
          <w:sz w:val="28"/>
          <w:szCs w:val="28"/>
          <w:lang w:eastAsia="zh-CN"/>
          <w14:textFill>
            <w14:solidFill>
              <w14:schemeClr w14:val="tx1"/>
            </w14:solidFill>
          </w14:textFill>
        </w:rPr>
        <w:t>外售。</w:t>
      </w:r>
    </w:p>
    <w:p w14:paraId="5162DA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（1）原料制备</w:t>
      </w:r>
    </w:p>
    <w:p w14:paraId="03B444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原料分两部分处理，一部为</w:t>
      </w:r>
      <w:r>
        <w:rPr>
          <w:rFonts w:hint="eastAsia" w:ascii="宋体" w:hAnsi="宋体" w:eastAsia="宋体" w:cs="宋体"/>
          <w:color w:val="000000" w:themeColor="text1"/>
          <w:sz w:val="28"/>
          <w:szCs w:val="28"/>
          <w:lang w:val="en-US" w:eastAsia="zh-CN"/>
          <w14:textFill>
            <w14:solidFill>
              <w14:schemeClr w14:val="tx1"/>
            </w14:solidFill>
          </w14:textFill>
        </w:rPr>
        <w:t>建筑垃圾渣土</w:t>
      </w:r>
      <w:r>
        <w:rPr>
          <w:rFonts w:hint="eastAsia" w:ascii="宋体" w:hAnsi="宋体" w:eastAsia="宋体" w:cs="宋体"/>
          <w:color w:val="000000" w:themeColor="text1"/>
          <w:sz w:val="28"/>
          <w:szCs w:val="28"/>
          <w14:textFill>
            <w14:solidFill>
              <w14:schemeClr w14:val="tx1"/>
            </w14:solidFill>
          </w14:textFill>
        </w:rPr>
        <w:t>处理，另一部分为煤泥</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煤矸石</w:t>
      </w:r>
      <w:r>
        <w:rPr>
          <w:rFonts w:hint="eastAsia" w:ascii="宋体" w:hAnsi="宋体" w:eastAsia="宋体" w:cs="宋体"/>
          <w:color w:val="000000" w:themeColor="text1"/>
          <w:sz w:val="28"/>
          <w:szCs w:val="28"/>
          <w14:textFill>
            <w14:solidFill>
              <w14:schemeClr w14:val="tx1"/>
            </w14:solidFill>
          </w14:textFill>
        </w:rPr>
        <w:t>的处理。</w:t>
      </w:r>
    </w:p>
    <w:p w14:paraId="0683533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建筑垃圾渣土</w:t>
      </w:r>
      <w:r>
        <w:rPr>
          <w:rFonts w:hint="eastAsia" w:ascii="宋体" w:hAnsi="宋体" w:eastAsia="宋体" w:cs="宋体"/>
          <w:color w:val="000000" w:themeColor="text1"/>
          <w:sz w:val="28"/>
          <w:szCs w:val="28"/>
          <w14:textFill>
            <w14:solidFill>
              <w14:schemeClr w14:val="tx1"/>
            </w14:solidFill>
          </w14:textFill>
        </w:rPr>
        <w:t>经颚式破碎机粗破后经皮带机送到下级板式给料机中，经过自动配料系统称量与自动称量后的</w:t>
      </w:r>
      <w:r>
        <w:rPr>
          <w:rFonts w:hint="eastAsia" w:ascii="宋体" w:hAnsi="宋体" w:eastAsia="宋体" w:cs="宋体"/>
          <w:color w:val="000000" w:themeColor="text1"/>
          <w:sz w:val="28"/>
          <w:szCs w:val="28"/>
          <w:lang w:val="en-US" w:eastAsia="zh-CN"/>
          <w14:textFill>
            <w14:solidFill>
              <w14:schemeClr w14:val="tx1"/>
            </w14:solidFill>
          </w14:textFill>
        </w:rPr>
        <w:t>煤矸石、</w:t>
      </w:r>
      <w:r>
        <w:rPr>
          <w:rFonts w:hint="eastAsia" w:ascii="宋体" w:hAnsi="宋体" w:eastAsia="宋体" w:cs="宋体"/>
          <w:color w:val="000000" w:themeColor="text1"/>
          <w:sz w:val="28"/>
          <w:szCs w:val="28"/>
          <w14:textFill>
            <w14:solidFill>
              <w14:schemeClr w14:val="tx1"/>
            </w14:solidFill>
          </w14:textFill>
        </w:rPr>
        <w:t>煤泥一起进入高速细碎锤式破碎机破碎，过滚筒筛，筛上料由皮带机送入锤式破碎机进行再处理，≤3mm的筛下料进入双轴搅拌机自动配水搅拌，这里加水采用自动加水系统，加水量在11%左右。搅拌后的湿原料由可逆式配仓胶带机布料均匀分布于陈化库中进行陈化。</w:t>
      </w:r>
    </w:p>
    <w:p w14:paraId="1C94E37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（2）原料陈化处理</w:t>
      </w:r>
    </w:p>
    <w:p w14:paraId="378B2A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搅拌好的原料由可逆移动配料皮带按一定规律均匀地分布在陈化库中，经3天（72小时）的充分陈化后，由液压多斗挖掘机挖出，经胶带输送机送入成型车间的箱式给料机。经陈化的原料，颗粒易疏解，原料中水分均匀化程度提高，从而使原料颗粒表面和内部性能更加均匀，更趋一致，提高了混合料的塑性指数，成型性能也随之提高；另外，由于陈化库还有储存原料的作用，可以储存5～7天的原料，因此对整条线正常稳定生产起了较大的作用；根据产品孔洞率的不同，原料的配热和粒度是不一样的，将不同的原料通过可逆移动配料皮带堆放在陈化库的不同区域，取用时可根据情况分别进行，由不同的胶带输送机送到不同的箱式给料机中。</w:t>
      </w:r>
    </w:p>
    <w:p w14:paraId="17C9A8F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（3）成型及切码运</w:t>
      </w:r>
    </w:p>
    <w:p w14:paraId="6168F3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陈化后的混合料，经箱式给料机，再经过高速细碎对辊机和强力双轴搅拌机进一步碾碎和搅拌，在二次搅拌处可根据原料干湿情况进行二次自动加水，使其达到成型要求即14%左右，再进入半硬塑真空挤出机挤出成型。成型泥条经全自动切条机、切坯机后自动编组码坯，码好的窑车由窑炉运转系统送入干燥隧道窑中干燥。</w:t>
      </w:r>
    </w:p>
    <w:p w14:paraId="56506E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（4）干燥与焙烧</w:t>
      </w:r>
    </w:p>
    <w:p w14:paraId="009BD4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干燥焙烧采用一次码烧大断面隧道工艺。干燥隧道窑热源来自焙烧隧道窑余热，通过系统调节送风温度及风量大小，确保砖坯干燥质量。干燥好的砖坯经隧道窑烧成成品。</w:t>
      </w:r>
    </w:p>
    <w:p w14:paraId="70BB1BB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焙烧隧道窑采用内宽为4.8米的大断面窑型，窑体结构设计成平吊顶结构。以全内燃为主，不需外投煤。隧道窑设有排烟系统、循环系统、余热系统、冷却系统和车底压力平衡系统。该窑断面大、产量高、断面温差小、保温性能好，窑炉设自动监控系统，焙烧热工参数稳定，保证了烧成质量。</w:t>
      </w:r>
    </w:p>
    <w:p w14:paraId="5A44D5A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窑车运转系统依靠半自动化控制，对砖的烧成过程实现微机监控。</w:t>
      </w:r>
    </w:p>
    <w:p w14:paraId="678F9E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完成焙烧过程的窑车由窑尾牵引机拉到窑尾摆渡车上，再被分别送到各条卸车线上进行半自动卸车。成品由叉车运输到成品堆场堆垛。</w:t>
      </w:r>
      <w:r>
        <w:rPr>
          <w:rFonts w:hint="eastAsia" w:ascii="宋体" w:hAnsi="宋体" w:eastAsia="宋体" w:cs="宋体"/>
          <w:color w:val="000000" w:themeColor="text1"/>
          <w:sz w:val="28"/>
          <w:szCs w:val="28"/>
          <w:lang w:val="en-US" w:eastAsia="zh-CN"/>
          <w14:textFill>
            <w14:solidFill>
              <w14:schemeClr w14:val="tx1"/>
            </w14:solidFill>
          </w14:textFill>
        </w:rPr>
        <w:t>工艺流程如图2-4。</w:t>
      </w:r>
    </w:p>
    <w:p w14:paraId="57EFC489">
      <w:pPr>
        <w:pStyle w:val="9"/>
        <w:bidi w:val="0"/>
        <w:ind w:firstLine="0" w:firstLineChars="0"/>
        <w:rPr>
          <w:color w:val="000000" w:themeColor="text1"/>
          <w:sz w:val="21"/>
          <w14:textFill>
            <w14:solidFill>
              <w14:schemeClr w14:val="tx1"/>
            </w14:solidFill>
          </w14:textFill>
        </w:rPr>
      </w:pPr>
      <w:r>
        <w:rPr>
          <w:color w:val="000000" w:themeColor="text1"/>
          <w:sz w:val="21"/>
          <w14:textFill>
            <w14:solidFill>
              <w14:schemeClr w14:val="tx1"/>
            </w14:solidFill>
          </w14:textFill>
        </w:rPr>
        <w:br w:type="page"/>
      </w:r>
    </w:p>
    <w:p w14:paraId="07D52558">
      <w:pPr>
        <w:pStyle w:val="9"/>
        <w:bidi w:val="0"/>
        <w:ind w:firstLine="0" w:firstLineChars="0"/>
        <w:rPr>
          <w:color w:val="000000" w:themeColor="text1"/>
          <w:sz w:val="21"/>
          <w14:textFill>
            <w14:solidFill>
              <w14:schemeClr w14:val="tx1"/>
            </w14:solidFill>
          </w14:textFill>
        </w:rPr>
      </w:pPr>
      <w:r>
        <w:rPr>
          <w:color w:val="000000" w:themeColor="text1"/>
          <w14:textFill>
            <w14:solidFill>
              <w14:schemeClr w14:val="tx1"/>
            </w14:solidFill>
          </w14:textFill>
        </w:rPr>
        <w:drawing>
          <wp:inline distT="0" distB="0" distL="114300" distR="114300">
            <wp:extent cx="4983480" cy="6019800"/>
            <wp:effectExtent l="0" t="0" r="0" b="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15"/>
                    <a:stretch>
                      <a:fillRect/>
                    </a:stretch>
                  </pic:blipFill>
                  <pic:spPr>
                    <a:xfrm>
                      <a:off x="0" y="0"/>
                      <a:ext cx="4983480" cy="6019800"/>
                    </a:xfrm>
                    <a:prstGeom prst="rect">
                      <a:avLst/>
                    </a:prstGeom>
                    <a:noFill/>
                    <a:ln>
                      <a:noFill/>
                    </a:ln>
                  </pic:spPr>
                </pic:pic>
              </a:graphicData>
            </a:graphic>
          </wp:inline>
        </w:drawing>
      </w:r>
    </w:p>
    <w:p w14:paraId="53224C4C">
      <w:pPr>
        <w:pStyle w:val="9"/>
        <w:bidi w:val="0"/>
        <w:ind w:firstLine="0" w:firstLineChars="0"/>
        <w:rPr>
          <w:color w:val="000000" w:themeColor="text1"/>
          <w:sz w:val="21"/>
          <w14:textFill>
            <w14:solidFill>
              <w14:schemeClr w14:val="tx1"/>
            </w14:solidFill>
          </w14:textFill>
        </w:rPr>
      </w:pPr>
    </w:p>
    <w:p w14:paraId="56746559">
      <w:pPr>
        <w:pStyle w:val="9"/>
        <w:bidi w:val="0"/>
        <w:ind w:firstLine="0" w:firstLineChars="0"/>
        <w:jc w:val="center"/>
        <w:rPr>
          <w:color w:val="000000" w:themeColor="text1"/>
          <w:sz w:val="21"/>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图2-4</w:t>
      </w:r>
      <w:r>
        <w:rPr>
          <w:rFonts w:hint="eastAsia" w:hAnsi="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工艺流程</w:t>
      </w:r>
    </w:p>
    <w:p w14:paraId="3F4F7F1B">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88" w:name="_Toc335926158"/>
      <w:bookmarkStart w:id="189" w:name="_Toc11429"/>
      <w:bookmarkStart w:id="190" w:name="_Toc313453470"/>
      <w:bookmarkStart w:id="191" w:name="_Toc27599"/>
      <w:bookmarkStart w:id="192" w:name="_Toc27943"/>
      <w:r>
        <w:rPr>
          <w:rFonts w:hint="default" w:ascii="Times New Roman" w:hAnsi="Times New Roman" w:eastAsia="黑体" w:cs="Times New Roman"/>
          <w:color w:val="000000" w:themeColor="text1"/>
          <w14:textFill>
            <w14:solidFill>
              <w14:schemeClr w14:val="tx1"/>
            </w14:solidFill>
          </w14:textFill>
        </w:rPr>
        <w:t>2.4.4</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主要</w:t>
      </w:r>
      <w:bookmarkEnd w:id="188"/>
      <w:bookmarkEnd w:id="189"/>
      <w:bookmarkEnd w:id="190"/>
      <w:bookmarkStart w:id="193" w:name="_Toc4278"/>
      <w:bookmarkStart w:id="194" w:name="_Toc14194"/>
      <w:bookmarkStart w:id="195" w:name="_Toc335926168"/>
      <w:bookmarkStart w:id="196" w:name="_Toc313453474"/>
      <w:r>
        <w:rPr>
          <w:rFonts w:hint="default" w:ascii="Times New Roman" w:hAnsi="Times New Roman" w:eastAsia="黑体" w:cs="Times New Roman"/>
          <w:color w:val="000000" w:themeColor="text1"/>
          <w14:textFill>
            <w14:solidFill>
              <w14:schemeClr w14:val="tx1"/>
            </w14:solidFill>
          </w14:textFill>
        </w:rPr>
        <w:t>生产设备</w:t>
      </w:r>
      <w:bookmarkEnd w:id="191"/>
      <w:bookmarkEnd w:id="192"/>
    </w:p>
    <w:p w14:paraId="32DB649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cs="Times New Roman"/>
          <w:color w:val="000000" w:themeColor="text1"/>
          <w:sz w:val="28"/>
          <w:szCs w:val="28"/>
          <w:lang w:val="en-US" w:eastAsia="zh-CN"/>
          <w14:textFill>
            <w14:solidFill>
              <w14:schemeClr w14:val="tx1"/>
            </w14:solidFill>
          </w14:textFill>
        </w:rPr>
      </w:pPr>
      <w:r>
        <w:rPr>
          <w:rFonts w:hint="eastAsia" w:ascii="Times New Roman" w:cs="Times New Roman"/>
          <w:color w:val="000000" w:themeColor="text1"/>
          <w:sz w:val="28"/>
          <w:szCs w:val="28"/>
          <w:lang w:val="en-US" w:eastAsia="zh-CN"/>
          <w14:textFill>
            <w14:solidFill>
              <w14:schemeClr w14:val="tx1"/>
            </w14:solidFill>
          </w14:textFill>
        </w:rPr>
        <w:t>1.</w:t>
      </w:r>
      <w:r>
        <w:rPr>
          <w:rFonts w:hint="default" w:ascii="Times New Roman" w:hAnsi="Times New Roman" w:cs="Times New Roman"/>
          <w:color w:val="000000" w:themeColor="text1"/>
          <w:sz w:val="28"/>
          <w:szCs w:val="28"/>
          <w:lang w:val="en-US" w:eastAsia="zh-CN"/>
          <w14:textFill>
            <w14:solidFill>
              <w14:schemeClr w14:val="tx1"/>
            </w14:solidFill>
          </w14:textFill>
        </w:rPr>
        <w:t>该项目生产系统</w:t>
      </w:r>
      <w:r>
        <w:rPr>
          <w:rFonts w:hint="eastAsia" w:ascii="Times New Roman" w:cs="Times New Roman"/>
          <w:color w:val="000000" w:themeColor="text1"/>
          <w:sz w:val="28"/>
          <w:szCs w:val="28"/>
          <w:lang w:val="en-US" w:eastAsia="zh-CN"/>
          <w14:textFill>
            <w14:solidFill>
              <w14:schemeClr w14:val="tx1"/>
            </w14:solidFill>
          </w14:textFill>
        </w:rPr>
        <w:t>中</w:t>
      </w:r>
      <w:r>
        <w:rPr>
          <w:rFonts w:hint="default" w:ascii="Times New Roman" w:hAnsi="Times New Roman" w:cs="Times New Roman"/>
          <w:color w:val="000000" w:themeColor="text1"/>
          <w:sz w:val="28"/>
          <w:szCs w:val="28"/>
          <w:lang w:val="en-US" w:eastAsia="zh-CN"/>
          <w14:textFill>
            <w14:solidFill>
              <w14:schemeClr w14:val="tx1"/>
            </w14:solidFill>
          </w14:textFill>
        </w:rPr>
        <w:t>使用</w:t>
      </w:r>
      <w:r>
        <w:rPr>
          <w:rFonts w:hint="eastAsia" w:ascii="Times New Roman" w:hAnsi="Times New Roman" w:cs="Times New Roman"/>
          <w:color w:val="000000" w:themeColor="text1"/>
          <w:sz w:val="28"/>
          <w:szCs w:val="28"/>
          <w:lang w:val="en-US" w:eastAsia="zh-CN"/>
          <w14:textFill>
            <w14:solidFill>
              <w14:schemeClr w14:val="tx1"/>
            </w14:solidFill>
          </w14:textFill>
        </w:rPr>
        <w:t>的</w:t>
      </w:r>
      <w:r>
        <w:rPr>
          <w:rFonts w:hint="default" w:ascii="Times New Roman" w:hAnsi="Times New Roman" w:cs="Times New Roman"/>
          <w:color w:val="000000" w:themeColor="text1"/>
          <w:sz w:val="28"/>
          <w:szCs w:val="28"/>
          <w:lang w:val="en-US" w:eastAsia="zh-CN"/>
          <w14:textFill>
            <w14:solidFill>
              <w14:schemeClr w14:val="tx1"/>
            </w14:solidFill>
          </w14:textFill>
        </w:rPr>
        <w:t>特种设备</w:t>
      </w:r>
      <w:r>
        <w:rPr>
          <w:rFonts w:hint="eastAsia" w:ascii="Times New Roman" w:cs="Times New Roman"/>
          <w:color w:val="000000" w:themeColor="text1"/>
          <w:sz w:val="28"/>
          <w:szCs w:val="28"/>
          <w:lang w:val="en-US" w:eastAsia="zh-CN"/>
          <w14:textFill>
            <w14:solidFill>
              <w14:schemeClr w14:val="tx1"/>
            </w14:solidFill>
          </w14:textFill>
        </w:rPr>
        <w:t>详见</w:t>
      </w:r>
      <w:r>
        <w:rPr>
          <w:rFonts w:hint="default" w:ascii="Times New Roman" w:hAnsi="Times New Roman" w:cs="Times New Roman"/>
          <w:color w:val="000000" w:themeColor="text1"/>
          <w:sz w:val="28"/>
          <w:szCs w:val="28"/>
          <w:lang w:val="en-US" w:eastAsia="zh-CN"/>
          <w14:textFill>
            <w14:solidFill>
              <w14:schemeClr w14:val="tx1"/>
            </w14:solidFill>
          </w14:textFill>
        </w:rPr>
        <w:t>表2-2</w:t>
      </w:r>
      <w:r>
        <w:rPr>
          <w:rFonts w:hint="eastAsia" w:ascii="Times New Roman" w:cs="Times New Roman"/>
          <w:color w:val="000000" w:themeColor="text1"/>
          <w:sz w:val="28"/>
          <w:szCs w:val="28"/>
          <w:lang w:val="en-US" w:eastAsia="zh-CN"/>
          <w14:textFill>
            <w14:solidFill>
              <w14:schemeClr w14:val="tx1"/>
            </w14:solidFill>
          </w14:textFill>
        </w:rPr>
        <w:t>。</w:t>
      </w:r>
    </w:p>
    <w:p w14:paraId="04A5E363">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Cs w:val="24"/>
          <w14:textFill>
            <w14:solidFill>
              <w14:schemeClr w14:val="tx1"/>
            </w14:solidFill>
          </w14:textFill>
        </w:rPr>
        <w:t xml:space="preserve">表2-2 </w:t>
      </w:r>
      <w:r>
        <w:rPr>
          <w:rFonts w:hint="eastAsia" w:ascii="宋体" w:hAnsi="宋体" w:eastAsia="宋体" w:cs="宋体"/>
          <w:b/>
          <w:bCs/>
          <w:color w:val="000000" w:themeColor="text1"/>
          <w:szCs w:val="24"/>
          <w:lang w:eastAsia="zh-CN"/>
          <w14:textFill>
            <w14:solidFill>
              <w14:schemeClr w14:val="tx1"/>
            </w14:solidFill>
          </w14:textFill>
        </w:rPr>
        <w:t>特种</w:t>
      </w:r>
      <w:r>
        <w:rPr>
          <w:rFonts w:hint="eastAsia" w:ascii="宋体" w:hAnsi="宋体" w:eastAsia="宋体" w:cs="宋体"/>
          <w:b/>
          <w:bCs/>
          <w:color w:val="000000" w:themeColor="text1"/>
          <w:szCs w:val="24"/>
          <w14:textFill>
            <w14:solidFill>
              <w14:schemeClr w14:val="tx1"/>
            </w14:solidFill>
          </w14:textFill>
        </w:rPr>
        <w:t>设备一览表</w:t>
      </w:r>
    </w:p>
    <w:tbl>
      <w:tblPr>
        <w:tblStyle w:val="51"/>
        <w:tblW w:w="849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
      <w:tblGrid>
        <w:gridCol w:w="732"/>
        <w:gridCol w:w="1346"/>
        <w:gridCol w:w="1699"/>
        <w:gridCol w:w="435"/>
        <w:gridCol w:w="450"/>
        <w:gridCol w:w="2490"/>
        <w:gridCol w:w="1345"/>
      </w:tblGrid>
      <w:tr w14:paraId="34A7F0D0">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395" w:hRule="atLeast"/>
          <w:tblHeader/>
          <w:jc w:val="center"/>
        </w:trPr>
        <w:tc>
          <w:tcPr>
            <w:tcW w:w="732" w:type="dxa"/>
            <w:tcBorders>
              <w:tl2br w:val="nil"/>
              <w:tr2bl w:val="nil"/>
            </w:tcBorders>
            <w:noWrap w:val="0"/>
            <w:vAlign w:val="center"/>
          </w:tcPr>
          <w:p w14:paraId="3BAAE981">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1346" w:type="dxa"/>
            <w:tcBorders>
              <w:tl2br w:val="nil"/>
              <w:tr2bl w:val="nil"/>
            </w:tcBorders>
            <w:noWrap w:val="0"/>
            <w:vAlign w:val="center"/>
          </w:tcPr>
          <w:p w14:paraId="2281575C">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设备名称</w:t>
            </w:r>
          </w:p>
        </w:tc>
        <w:tc>
          <w:tcPr>
            <w:tcW w:w="1699" w:type="dxa"/>
            <w:tcBorders>
              <w:tl2br w:val="nil"/>
              <w:tr2bl w:val="nil"/>
            </w:tcBorders>
            <w:noWrap w:val="0"/>
            <w:vAlign w:val="center"/>
          </w:tcPr>
          <w:p w14:paraId="44355D6D">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型号</w:t>
            </w:r>
          </w:p>
        </w:tc>
        <w:tc>
          <w:tcPr>
            <w:tcW w:w="435" w:type="dxa"/>
            <w:tcBorders>
              <w:tl2br w:val="nil"/>
              <w:tr2bl w:val="nil"/>
            </w:tcBorders>
            <w:noWrap w:val="0"/>
            <w:vAlign w:val="center"/>
          </w:tcPr>
          <w:p w14:paraId="1E52630D">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单位</w:t>
            </w:r>
          </w:p>
        </w:tc>
        <w:tc>
          <w:tcPr>
            <w:tcW w:w="450" w:type="dxa"/>
            <w:tcBorders>
              <w:tl2br w:val="nil"/>
              <w:tr2bl w:val="nil"/>
            </w:tcBorders>
            <w:noWrap w:val="0"/>
            <w:vAlign w:val="center"/>
          </w:tcPr>
          <w:p w14:paraId="189D7FD8">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lang w:eastAsia="zh-CN"/>
                <w14:textFill>
                  <w14:solidFill>
                    <w14:schemeClr w14:val="tx1"/>
                  </w14:solidFill>
                </w14:textFill>
              </w:rPr>
              <w:t>数量</w:t>
            </w:r>
          </w:p>
        </w:tc>
        <w:tc>
          <w:tcPr>
            <w:tcW w:w="2490" w:type="dxa"/>
            <w:tcBorders>
              <w:tl2br w:val="nil"/>
              <w:tr2bl w:val="nil"/>
            </w:tcBorders>
            <w:noWrap w:val="0"/>
            <w:vAlign w:val="center"/>
          </w:tcPr>
          <w:p w14:paraId="5A8550D1">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lang w:eastAsia="zh-CN"/>
                <w14:textFill>
                  <w14:solidFill>
                    <w14:schemeClr w14:val="tx1"/>
                  </w14:solidFill>
                </w14:textFill>
              </w:rPr>
              <w:t>功能</w:t>
            </w:r>
          </w:p>
        </w:tc>
        <w:tc>
          <w:tcPr>
            <w:tcW w:w="1345" w:type="dxa"/>
            <w:tcBorders>
              <w:tl2br w:val="nil"/>
              <w:tr2bl w:val="nil"/>
            </w:tcBorders>
            <w:noWrap w:val="0"/>
            <w:vAlign w:val="center"/>
          </w:tcPr>
          <w:p w14:paraId="69267AB2">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布置</w:t>
            </w:r>
          </w:p>
          <w:p w14:paraId="664C6C8E">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eastAsia="zh-CN"/>
                <w14:textFill>
                  <w14:solidFill>
                    <w14:schemeClr w14:val="tx1"/>
                  </w14:solidFill>
                </w14:textFill>
              </w:rPr>
              <w:t>位置</w:t>
            </w:r>
          </w:p>
        </w:tc>
      </w:tr>
      <w:tr w14:paraId="56BD795B">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732" w:type="dxa"/>
            <w:tcBorders>
              <w:tl2br w:val="nil"/>
              <w:tr2bl w:val="nil"/>
            </w:tcBorders>
            <w:noWrap w:val="0"/>
            <w:vAlign w:val="center"/>
          </w:tcPr>
          <w:p w14:paraId="3139FB5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p>
        </w:tc>
        <w:tc>
          <w:tcPr>
            <w:tcW w:w="1346" w:type="dxa"/>
            <w:tcBorders>
              <w:tl2br w:val="nil"/>
              <w:tr2bl w:val="nil"/>
            </w:tcBorders>
            <w:noWrap w:val="0"/>
            <w:vAlign w:val="center"/>
          </w:tcPr>
          <w:p w14:paraId="15A362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储气罐</w:t>
            </w:r>
          </w:p>
        </w:tc>
        <w:tc>
          <w:tcPr>
            <w:tcW w:w="1699" w:type="dxa"/>
            <w:tcBorders>
              <w:tl2br w:val="nil"/>
              <w:tr2bl w:val="nil"/>
            </w:tcBorders>
            <w:noWrap w:val="0"/>
            <w:vAlign w:val="center"/>
          </w:tcPr>
          <w:p w14:paraId="19B11D2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p>
        </w:tc>
        <w:tc>
          <w:tcPr>
            <w:tcW w:w="435" w:type="dxa"/>
            <w:tcBorders>
              <w:tl2br w:val="nil"/>
              <w:tr2bl w:val="nil"/>
            </w:tcBorders>
            <w:noWrap w:val="0"/>
            <w:vAlign w:val="center"/>
          </w:tcPr>
          <w:p w14:paraId="6DF490F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台</w:t>
            </w:r>
          </w:p>
        </w:tc>
        <w:tc>
          <w:tcPr>
            <w:tcW w:w="450" w:type="dxa"/>
            <w:tcBorders>
              <w:tl2br w:val="nil"/>
              <w:tr2bl w:val="nil"/>
            </w:tcBorders>
            <w:noWrap w:val="0"/>
            <w:vAlign w:val="center"/>
          </w:tcPr>
          <w:p w14:paraId="525D825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p>
        </w:tc>
        <w:tc>
          <w:tcPr>
            <w:tcW w:w="2490" w:type="dxa"/>
            <w:tcBorders>
              <w:tl2br w:val="nil"/>
              <w:tr2bl w:val="nil"/>
            </w:tcBorders>
            <w:noWrap w:val="0"/>
            <w:vAlign w:val="center"/>
          </w:tcPr>
          <w:p w14:paraId="581EE6C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储存和调节压缩空气</w:t>
            </w:r>
          </w:p>
        </w:tc>
        <w:tc>
          <w:tcPr>
            <w:tcW w:w="1345" w:type="dxa"/>
            <w:tcBorders>
              <w:tl2br w:val="nil"/>
              <w:tr2bl w:val="nil"/>
            </w:tcBorders>
            <w:noWrap w:val="0"/>
            <w:vAlign w:val="center"/>
          </w:tcPr>
          <w:p w14:paraId="440974CE">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制坯区</w:t>
            </w:r>
          </w:p>
        </w:tc>
      </w:tr>
      <w:tr w14:paraId="4D9325DD">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425" w:hRule="atLeast"/>
          <w:jc w:val="center"/>
        </w:trPr>
        <w:tc>
          <w:tcPr>
            <w:tcW w:w="732" w:type="dxa"/>
            <w:tcBorders>
              <w:tl2br w:val="nil"/>
              <w:tr2bl w:val="nil"/>
            </w:tcBorders>
            <w:noWrap w:val="0"/>
            <w:vAlign w:val="center"/>
          </w:tcPr>
          <w:p w14:paraId="1544CE4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1346" w:type="dxa"/>
            <w:tcBorders>
              <w:tl2br w:val="nil"/>
              <w:tr2bl w:val="nil"/>
            </w:tcBorders>
            <w:noWrap w:val="0"/>
            <w:vAlign w:val="center"/>
          </w:tcPr>
          <w:p w14:paraId="7CB26B6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color w:val="000000" w:themeColor="text1"/>
                <w:sz w:val="24"/>
                <w:szCs w:val="24"/>
                <w:lang w:val="en-US" w:eastAsia="zh-CN"/>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乙炔气瓶</w:t>
            </w:r>
          </w:p>
        </w:tc>
        <w:tc>
          <w:tcPr>
            <w:tcW w:w="1699" w:type="dxa"/>
            <w:tcBorders>
              <w:tl2br w:val="nil"/>
              <w:tr2bl w:val="nil"/>
            </w:tcBorders>
            <w:noWrap w:val="0"/>
            <w:vAlign w:val="center"/>
          </w:tcPr>
          <w:p w14:paraId="5574E51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color w:val="000000" w:themeColor="text1"/>
                <w:sz w:val="24"/>
                <w:szCs w:val="24"/>
                <w:lang w:val="en-US" w:eastAsia="zh-CN"/>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w:t>
            </w:r>
          </w:p>
        </w:tc>
        <w:tc>
          <w:tcPr>
            <w:tcW w:w="435" w:type="dxa"/>
            <w:tcBorders>
              <w:tl2br w:val="nil"/>
              <w:tr2bl w:val="nil"/>
            </w:tcBorders>
            <w:noWrap w:val="0"/>
            <w:vAlign w:val="center"/>
          </w:tcPr>
          <w:p w14:paraId="3E8B610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color w:val="000000" w:themeColor="text1"/>
                <w:sz w:val="24"/>
                <w:szCs w:val="24"/>
                <w:lang w:val="en-US" w:eastAsia="zh-CN"/>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瓶</w:t>
            </w:r>
          </w:p>
        </w:tc>
        <w:tc>
          <w:tcPr>
            <w:tcW w:w="450" w:type="dxa"/>
            <w:tcBorders>
              <w:tl2br w:val="nil"/>
              <w:tr2bl w:val="nil"/>
            </w:tcBorders>
            <w:noWrap w:val="0"/>
            <w:vAlign w:val="center"/>
          </w:tcPr>
          <w:p w14:paraId="74D50B8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color w:val="000000" w:themeColor="text1"/>
                <w:sz w:val="24"/>
                <w:szCs w:val="24"/>
                <w:lang w:val="en-US" w:eastAsia="zh-CN"/>
                <w14:textFill>
                  <w14:solidFill>
                    <w14:schemeClr w14:val="tx1"/>
                  </w14:solidFill>
                </w14:textFill>
              </w:rPr>
            </w:pPr>
            <w:r>
              <w:rPr>
                <w:rFonts w:hint="eastAsia" w:hAnsi="宋体" w:cs="宋体"/>
                <w:bCs/>
                <w:color w:val="000000" w:themeColor="text1"/>
                <w:sz w:val="24"/>
                <w:szCs w:val="24"/>
                <w:lang w:val="en-US" w:eastAsia="zh-CN"/>
                <w14:textFill>
                  <w14:solidFill>
                    <w14:schemeClr w14:val="tx1"/>
                  </w14:solidFill>
                </w14:textFill>
              </w:rPr>
              <w:t>4</w:t>
            </w:r>
          </w:p>
        </w:tc>
        <w:tc>
          <w:tcPr>
            <w:tcW w:w="2490" w:type="dxa"/>
            <w:tcBorders>
              <w:tl2br w:val="nil"/>
              <w:tr2bl w:val="nil"/>
            </w:tcBorders>
            <w:noWrap w:val="0"/>
            <w:vAlign w:val="center"/>
          </w:tcPr>
          <w:p w14:paraId="1DEB5FF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color w:val="000000" w:themeColor="text1"/>
                <w:sz w:val="24"/>
                <w:szCs w:val="24"/>
                <w:lang w:eastAsia="zh-CN"/>
                <w14:textFill>
                  <w14:solidFill>
                    <w14:schemeClr w14:val="tx1"/>
                  </w14:solidFill>
                </w14:textFill>
              </w:rPr>
            </w:pPr>
            <w:r>
              <w:rPr>
                <w:rFonts w:hint="eastAsia" w:ascii="宋体" w:hAnsi="宋体" w:eastAsia="宋体" w:cs="宋体"/>
                <w:bCs/>
                <w:color w:val="000000" w:themeColor="text1"/>
                <w:sz w:val="24"/>
                <w:szCs w:val="24"/>
                <w:lang w:eastAsia="zh-CN"/>
                <w14:textFill>
                  <w14:solidFill>
                    <w14:schemeClr w14:val="tx1"/>
                  </w14:solidFill>
                </w14:textFill>
              </w:rPr>
              <w:t>焊接</w:t>
            </w:r>
          </w:p>
        </w:tc>
        <w:tc>
          <w:tcPr>
            <w:tcW w:w="1345" w:type="dxa"/>
            <w:tcBorders>
              <w:tl2br w:val="nil"/>
              <w:tr2bl w:val="nil"/>
            </w:tcBorders>
            <w:noWrap w:val="0"/>
            <w:vAlign w:val="center"/>
          </w:tcPr>
          <w:p w14:paraId="3B4BF20C">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机修车间</w:t>
            </w:r>
          </w:p>
        </w:tc>
      </w:tr>
      <w:tr w14:paraId="586DD5BF">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415" w:hRule="atLeast"/>
          <w:jc w:val="center"/>
        </w:trPr>
        <w:tc>
          <w:tcPr>
            <w:tcW w:w="732" w:type="dxa"/>
            <w:tcBorders>
              <w:tl2br w:val="nil"/>
              <w:tr2bl w:val="nil"/>
            </w:tcBorders>
            <w:noWrap w:val="0"/>
            <w:vAlign w:val="center"/>
          </w:tcPr>
          <w:p w14:paraId="001B7D2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1346" w:type="dxa"/>
            <w:tcBorders>
              <w:tl2br w:val="nil"/>
              <w:tr2bl w:val="nil"/>
            </w:tcBorders>
            <w:noWrap w:val="0"/>
            <w:vAlign w:val="center"/>
          </w:tcPr>
          <w:p w14:paraId="195EE9E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氧气气瓶</w:t>
            </w:r>
          </w:p>
        </w:tc>
        <w:tc>
          <w:tcPr>
            <w:tcW w:w="1699" w:type="dxa"/>
            <w:tcBorders>
              <w:tl2br w:val="nil"/>
              <w:tr2bl w:val="nil"/>
            </w:tcBorders>
            <w:noWrap w:val="0"/>
            <w:vAlign w:val="center"/>
          </w:tcPr>
          <w:p w14:paraId="66919AC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p>
        </w:tc>
        <w:tc>
          <w:tcPr>
            <w:tcW w:w="435" w:type="dxa"/>
            <w:tcBorders>
              <w:tl2br w:val="nil"/>
              <w:tr2bl w:val="nil"/>
            </w:tcBorders>
            <w:noWrap w:val="0"/>
            <w:vAlign w:val="center"/>
          </w:tcPr>
          <w:p w14:paraId="6DC7284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bCs/>
                <w:color w:val="000000" w:themeColor="text1"/>
                <w:sz w:val="24"/>
                <w:szCs w:val="24"/>
                <w:lang w:eastAsia="zh-CN"/>
                <w14:textFill>
                  <w14:solidFill>
                    <w14:schemeClr w14:val="tx1"/>
                  </w14:solidFill>
                </w14:textFill>
              </w:rPr>
              <w:t>瓶</w:t>
            </w:r>
          </w:p>
        </w:tc>
        <w:tc>
          <w:tcPr>
            <w:tcW w:w="450" w:type="dxa"/>
            <w:tcBorders>
              <w:tl2br w:val="nil"/>
              <w:tr2bl w:val="nil"/>
            </w:tcBorders>
            <w:noWrap w:val="0"/>
            <w:vAlign w:val="center"/>
          </w:tcPr>
          <w:p w14:paraId="41BA00B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color w:val="000000" w:themeColor="text1"/>
                <w:sz w:val="24"/>
                <w:szCs w:val="24"/>
                <w:lang w:val="en-US" w:eastAsia="zh-CN"/>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2</w:t>
            </w:r>
          </w:p>
        </w:tc>
        <w:tc>
          <w:tcPr>
            <w:tcW w:w="2490" w:type="dxa"/>
            <w:tcBorders>
              <w:tl2br w:val="nil"/>
              <w:tr2bl w:val="nil"/>
            </w:tcBorders>
            <w:noWrap w:val="0"/>
            <w:vAlign w:val="center"/>
          </w:tcPr>
          <w:p w14:paraId="09C89FD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bCs/>
                <w:color w:val="000000" w:themeColor="text1"/>
                <w:sz w:val="24"/>
                <w:szCs w:val="24"/>
                <w:lang w:eastAsia="zh-CN"/>
                <w14:textFill>
                  <w14:solidFill>
                    <w14:schemeClr w14:val="tx1"/>
                  </w14:solidFill>
                </w14:textFill>
              </w:rPr>
              <w:t>焊接</w:t>
            </w:r>
          </w:p>
        </w:tc>
        <w:tc>
          <w:tcPr>
            <w:tcW w:w="1345" w:type="dxa"/>
            <w:tcBorders>
              <w:tl2br w:val="nil"/>
              <w:tr2bl w:val="nil"/>
            </w:tcBorders>
            <w:noWrap w:val="0"/>
            <w:vAlign w:val="center"/>
          </w:tcPr>
          <w:p w14:paraId="0E12155E">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机修车间</w:t>
            </w:r>
          </w:p>
        </w:tc>
      </w:tr>
      <w:tr w14:paraId="374E6A63">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415" w:hRule="atLeast"/>
          <w:jc w:val="center"/>
        </w:trPr>
        <w:tc>
          <w:tcPr>
            <w:tcW w:w="732" w:type="dxa"/>
            <w:tcBorders>
              <w:tl2br w:val="nil"/>
              <w:tr2bl w:val="nil"/>
            </w:tcBorders>
            <w:noWrap w:val="0"/>
            <w:vAlign w:val="center"/>
          </w:tcPr>
          <w:p w14:paraId="2F1FDD0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1346" w:type="dxa"/>
            <w:tcBorders>
              <w:tl2br w:val="nil"/>
              <w:tr2bl w:val="nil"/>
            </w:tcBorders>
            <w:noWrap w:val="0"/>
            <w:vAlign w:val="center"/>
          </w:tcPr>
          <w:p w14:paraId="3DB6269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叉车</w:t>
            </w:r>
          </w:p>
        </w:tc>
        <w:tc>
          <w:tcPr>
            <w:tcW w:w="1699" w:type="dxa"/>
            <w:tcBorders>
              <w:tl2br w:val="nil"/>
              <w:tr2bl w:val="nil"/>
            </w:tcBorders>
            <w:noWrap w:val="0"/>
            <w:vAlign w:val="center"/>
          </w:tcPr>
          <w:p w14:paraId="0C0C6DE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3.5t</w:t>
            </w:r>
          </w:p>
        </w:tc>
        <w:tc>
          <w:tcPr>
            <w:tcW w:w="435" w:type="dxa"/>
            <w:tcBorders>
              <w:tl2br w:val="nil"/>
              <w:tr2bl w:val="nil"/>
            </w:tcBorders>
            <w:noWrap w:val="0"/>
            <w:vAlign w:val="center"/>
          </w:tcPr>
          <w:p w14:paraId="5B79963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bCs/>
                <w:color w:val="000000" w:themeColor="text1"/>
                <w:sz w:val="24"/>
                <w:szCs w:val="24"/>
                <w:lang w:val="en-US" w:eastAsia="zh-CN"/>
                <w14:textFill>
                  <w14:solidFill>
                    <w14:schemeClr w14:val="tx1"/>
                  </w14:solidFill>
                </w14:textFill>
              </w:rPr>
            </w:pPr>
            <w:r>
              <w:rPr>
                <w:rFonts w:hint="eastAsia" w:hAnsi="宋体" w:cs="宋体"/>
                <w:bCs/>
                <w:color w:val="000000" w:themeColor="text1"/>
                <w:sz w:val="24"/>
                <w:szCs w:val="24"/>
                <w:lang w:val="en-US" w:eastAsia="zh-CN"/>
                <w14:textFill>
                  <w14:solidFill>
                    <w14:schemeClr w14:val="tx1"/>
                  </w14:solidFill>
                </w14:textFill>
              </w:rPr>
              <w:t>台</w:t>
            </w:r>
          </w:p>
        </w:tc>
        <w:tc>
          <w:tcPr>
            <w:tcW w:w="450" w:type="dxa"/>
            <w:tcBorders>
              <w:tl2br w:val="nil"/>
              <w:tr2bl w:val="nil"/>
            </w:tcBorders>
            <w:noWrap w:val="0"/>
            <w:vAlign w:val="center"/>
          </w:tcPr>
          <w:p w14:paraId="21DBAB6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bCs/>
                <w:color w:val="000000" w:themeColor="text1"/>
                <w:sz w:val="24"/>
                <w:szCs w:val="24"/>
                <w:lang w:val="en-US" w:eastAsia="zh-CN"/>
                <w14:textFill>
                  <w14:solidFill>
                    <w14:schemeClr w14:val="tx1"/>
                  </w14:solidFill>
                </w14:textFill>
              </w:rPr>
            </w:pPr>
            <w:r>
              <w:rPr>
                <w:rFonts w:hint="eastAsia" w:hAnsi="宋体" w:cs="宋体"/>
                <w:bCs/>
                <w:color w:val="000000" w:themeColor="text1"/>
                <w:sz w:val="24"/>
                <w:szCs w:val="24"/>
                <w:lang w:val="en-US" w:eastAsia="zh-CN"/>
                <w14:textFill>
                  <w14:solidFill>
                    <w14:schemeClr w14:val="tx1"/>
                  </w14:solidFill>
                </w14:textFill>
              </w:rPr>
              <w:t>1</w:t>
            </w:r>
          </w:p>
        </w:tc>
        <w:tc>
          <w:tcPr>
            <w:tcW w:w="2490" w:type="dxa"/>
            <w:tcBorders>
              <w:tl2br w:val="nil"/>
              <w:tr2bl w:val="nil"/>
            </w:tcBorders>
            <w:noWrap w:val="0"/>
            <w:vAlign w:val="center"/>
          </w:tcPr>
          <w:p w14:paraId="45A3621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color w:val="000000" w:themeColor="text1"/>
                <w:sz w:val="24"/>
                <w:szCs w:val="24"/>
                <w:lang w:eastAsia="zh-CN"/>
                <w14:textFill>
                  <w14:solidFill>
                    <w14:schemeClr w14:val="tx1"/>
                  </w14:solidFill>
                </w14:textFill>
              </w:rPr>
            </w:pPr>
          </w:p>
        </w:tc>
        <w:tc>
          <w:tcPr>
            <w:tcW w:w="1345" w:type="dxa"/>
            <w:tcBorders>
              <w:tl2br w:val="nil"/>
              <w:tr2bl w:val="nil"/>
            </w:tcBorders>
            <w:noWrap w:val="0"/>
            <w:vAlign w:val="center"/>
          </w:tcPr>
          <w:p w14:paraId="5272FA5D">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4"/>
                <w:szCs w:val="24"/>
                <w:lang w:eastAsia="zh-CN"/>
                <w14:textFill>
                  <w14:solidFill>
                    <w14:schemeClr w14:val="tx1"/>
                  </w14:solidFill>
                </w14:textFill>
              </w:rPr>
            </w:pPr>
          </w:p>
        </w:tc>
      </w:tr>
    </w:tbl>
    <w:p w14:paraId="4D5EFB2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FF"/>
          <w:sz w:val="28"/>
          <w:szCs w:val="28"/>
        </w:rPr>
      </w:pPr>
      <w:r>
        <w:rPr>
          <w:rFonts w:hint="eastAsia" w:ascii="宋体" w:hAnsi="宋体" w:eastAsia="宋体" w:cs="宋体"/>
          <w:color w:val="0000FF"/>
          <w:sz w:val="28"/>
          <w:szCs w:val="28"/>
          <w:lang w:val="en-US" w:eastAsia="zh-CN"/>
        </w:rPr>
        <w:t>2.叉车的使用登记证、定期检验情况介绍</w:t>
      </w:r>
    </w:p>
    <w:p w14:paraId="076953D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hAnsi="宋体" w:cs="宋体"/>
          <w:color w:val="0000FF"/>
          <w:sz w:val="28"/>
          <w:szCs w:val="28"/>
          <w:lang w:val="en-US" w:eastAsia="zh-CN"/>
        </w:rPr>
        <w:t>叉车已到牟定县市场监督管理局进行登记，并取得特种设备使用登记证。已进行定期检验。使用登记证、定期检验报告见附件10。</w:t>
      </w:r>
    </w:p>
    <w:p w14:paraId="5411831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该项目生产系统所用的主要生产设备如表2-</w:t>
      </w: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w:t>
      </w:r>
    </w:p>
    <w:p w14:paraId="68AE2D94">
      <w:pPr>
        <w:spacing w:line="500" w:lineRule="exact"/>
        <w:ind w:firstLine="482" w:firstLineChars="200"/>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表2-</w:t>
      </w:r>
      <w:r>
        <w:rPr>
          <w:rFonts w:hint="eastAsia" w:ascii="宋体" w:hAnsi="宋体" w:eastAsia="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14:textFill>
            <w14:solidFill>
              <w14:schemeClr w14:val="tx1"/>
            </w14:solidFill>
          </w14:textFill>
        </w:rPr>
        <w:t xml:space="preserve"> 主要生产设备一览表</w:t>
      </w:r>
    </w:p>
    <w:tbl>
      <w:tblPr>
        <w:tblStyle w:val="51"/>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autofit"/>
        <w:tblCellMar>
          <w:top w:w="0" w:type="dxa"/>
          <w:left w:w="108" w:type="dxa"/>
          <w:bottom w:w="0" w:type="dxa"/>
          <w:right w:w="108" w:type="dxa"/>
        </w:tblCellMar>
      </w:tblPr>
      <w:tblGrid>
        <w:gridCol w:w="786"/>
        <w:gridCol w:w="1449"/>
        <w:gridCol w:w="2496"/>
        <w:gridCol w:w="619"/>
        <w:gridCol w:w="2068"/>
        <w:gridCol w:w="1101"/>
      </w:tblGrid>
      <w:tr w14:paraId="2ED4F773">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395" w:hRule="atLeast"/>
          <w:tblHeader/>
          <w:jc w:val="center"/>
        </w:trPr>
        <w:tc>
          <w:tcPr>
            <w:tcW w:w="461" w:type="pct"/>
            <w:tcBorders>
              <w:tl2br w:val="nil"/>
              <w:tr2bl w:val="nil"/>
            </w:tcBorders>
            <w:noWrap w:val="0"/>
            <w:vAlign w:val="center"/>
          </w:tcPr>
          <w:p w14:paraId="383D7B4D">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850" w:type="pct"/>
            <w:tcBorders>
              <w:tl2br w:val="nil"/>
              <w:tr2bl w:val="nil"/>
            </w:tcBorders>
            <w:noWrap w:val="0"/>
            <w:vAlign w:val="center"/>
          </w:tcPr>
          <w:p w14:paraId="0B998989">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设备名称</w:t>
            </w:r>
          </w:p>
        </w:tc>
        <w:tc>
          <w:tcPr>
            <w:tcW w:w="1464" w:type="pct"/>
            <w:tcBorders>
              <w:tl2br w:val="nil"/>
              <w:tr2bl w:val="nil"/>
            </w:tcBorders>
            <w:noWrap w:val="0"/>
            <w:vAlign w:val="center"/>
          </w:tcPr>
          <w:p w14:paraId="4E8E9362">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型号</w:t>
            </w:r>
          </w:p>
        </w:tc>
        <w:tc>
          <w:tcPr>
            <w:tcW w:w="363" w:type="pct"/>
            <w:tcBorders>
              <w:tl2br w:val="nil"/>
              <w:tr2bl w:val="nil"/>
            </w:tcBorders>
            <w:noWrap w:val="0"/>
            <w:vAlign w:val="center"/>
          </w:tcPr>
          <w:p w14:paraId="22CA526B">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数量</w:t>
            </w:r>
          </w:p>
        </w:tc>
        <w:tc>
          <w:tcPr>
            <w:tcW w:w="1213" w:type="pct"/>
            <w:tcBorders>
              <w:tl2br w:val="nil"/>
              <w:tr2bl w:val="nil"/>
            </w:tcBorders>
            <w:noWrap w:val="0"/>
            <w:vAlign w:val="center"/>
          </w:tcPr>
          <w:p w14:paraId="2F56272B">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ascii="宋体" w:hAnsi="宋体" w:eastAsia="宋体" w:cs="宋体"/>
                <w:b/>
                <w:bCs/>
                <w:color w:val="000000" w:themeColor="text1"/>
                <w:sz w:val="21"/>
                <w:szCs w:val="21"/>
                <w:lang w:eastAsia="zh-CN"/>
                <w14:textFill>
                  <w14:solidFill>
                    <w14:schemeClr w14:val="tx1"/>
                  </w14:solidFill>
                </w14:textFill>
              </w:rPr>
              <w:t>功能</w:t>
            </w:r>
          </w:p>
        </w:tc>
        <w:tc>
          <w:tcPr>
            <w:tcW w:w="646" w:type="pct"/>
            <w:tcBorders>
              <w:tl2br w:val="nil"/>
              <w:tr2bl w:val="nil"/>
            </w:tcBorders>
            <w:noWrap w:val="0"/>
            <w:vAlign w:val="center"/>
          </w:tcPr>
          <w:p w14:paraId="617B7695">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布置</w:t>
            </w:r>
          </w:p>
          <w:p w14:paraId="7F7E73D0">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outlineLvl w:val="9"/>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eastAsia="zh-CN"/>
                <w14:textFill>
                  <w14:solidFill>
                    <w14:schemeClr w14:val="tx1"/>
                  </w14:solidFill>
                </w14:textFill>
              </w:rPr>
              <w:t>位置</w:t>
            </w:r>
          </w:p>
        </w:tc>
      </w:tr>
      <w:tr w14:paraId="6477D490">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90" w:hRule="atLeast"/>
          <w:jc w:val="center"/>
        </w:trPr>
        <w:tc>
          <w:tcPr>
            <w:tcW w:w="461" w:type="pct"/>
            <w:tcBorders>
              <w:tl2br w:val="nil"/>
              <w:tr2bl w:val="nil"/>
            </w:tcBorders>
            <w:noWrap w:val="0"/>
            <w:vAlign w:val="center"/>
          </w:tcPr>
          <w:p w14:paraId="0E69B59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p>
        </w:tc>
        <w:tc>
          <w:tcPr>
            <w:tcW w:w="850" w:type="pct"/>
            <w:tcBorders>
              <w:tl2br w:val="nil"/>
              <w:tr2bl w:val="nil"/>
            </w:tcBorders>
            <w:shd w:val="clear" w:color="auto" w:fill="auto"/>
            <w:noWrap w:val="0"/>
            <w:vAlign w:val="center"/>
          </w:tcPr>
          <w:p w14:paraId="23711EE7">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给料机</w:t>
            </w:r>
          </w:p>
        </w:tc>
        <w:tc>
          <w:tcPr>
            <w:tcW w:w="1464" w:type="pct"/>
            <w:tcBorders>
              <w:tl2br w:val="nil"/>
              <w:tr2bl w:val="nil"/>
            </w:tcBorders>
            <w:shd w:val="clear" w:color="auto" w:fill="auto"/>
            <w:noWrap w:val="0"/>
            <w:vAlign w:val="center"/>
          </w:tcPr>
          <w:p w14:paraId="5DBA52DA">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5.5kw</w:t>
            </w:r>
          </w:p>
        </w:tc>
        <w:tc>
          <w:tcPr>
            <w:tcW w:w="363" w:type="pct"/>
            <w:tcBorders>
              <w:tl2br w:val="nil"/>
              <w:tr2bl w:val="nil"/>
            </w:tcBorders>
            <w:shd w:val="clear" w:color="auto" w:fill="auto"/>
            <w:noWrap w:val="0"/>
            <w:vAlign w:val="center"/>
          </w:tcPr>
          <w:p w14:paraId="628226C9">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2台</w:t>
            </w:r>
          </w:p>
        </w:tc>
        <w:tc>
          <w:tcPr>
            <w:tcW w:w="1213" w:type="pct"/>
            <w:tcBorders>
              <w:tl2br w:val="nil"/>
              <w:tr2bl w:val="nil"/>
            </w:tcBorders>
            <w:shd w:val="clear" w:color="auto" w:fill="auto"/>
            <w:noWrap w:val="0"/>
            <w:vAlign w:val="center"/>
          </w:tcPr>
          <w:p w14:paraId="20EFB2A0">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混合物料给料</w:t>
            </w:r>
          </w:p>
        </w:tc>
        <w:tc>
          <w:tcPr>
            <w:tcW w:w="646" w:type="pct"/>
            <w:vMerge w:val="restart"/>
            <w:tcBorders>
              <w:tl2br w:val="nil"/>
              <w:tr2bl w:val="nil"/>
            </w:tcBorders>
            <w:noWrap w:val="0"/>
            <w:vAlign w:val="center"/>
          </w:tcPr>
          <w:p w14:paraId="6EC7B2E3">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制坯区</w:t>
            </w:r>
          </w:p>
        </w:tc>
      </w:tr>
      <w:tr w14:paraId="384B332D">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0AA7550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w:t>
            </w:r>
          </w:p>
        </w:tc>
        <w:tc>
          <w:tcPr>
            <w:tcW w:w="850" w:type="pct"/>
            <w:tcBorders>
              <w:tl2br w:val="nil"/>
              <w:tr2bl w:val="nil"/>
            </w:tcBorders>
            <w:shd w:val="clear" w:color="auto" w:fill="auto"/>
            <w:noWrap w:val="0"/>
            <w:vAlign w:val="center"/>
          </w:tcPr>
          <w:p w14:paraId="7C104457">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颚式破碎机</w:t>
            </w:r>
          </w:p>
        </w:tc>
        <w:tc>
          <w:tcPr>
            <w:tcW w:w="1464" w:type="pct"/>
            <w:tcBorders>
              <w:tl2br w:val="nil"/>
              <w:tr2bl w:val="nil"/>
            </w:tcBorders>
            <w:shd w:val="clear" w:color="auto" w:fill="auto"/>
            <w:noWrap w:val="0"/>
            <w:vAlign w:val="center"/>
          </w:tcPr>
          <w:p w14:paraId="55876A35">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400*600</w:t>
            </w:r>
          </w:p>
        </w:tc>
        <w:tc>
          <w:tcPr>
            <w:tcW w:w="363" w:type="pct"/>
            <w:tcBorders>
              <w:tl2br w:val="nil"/>
              <w:tr2bl w:val="nil"/>
            </w:tcBorders>
            <w:shd w:val="clear" w:color="auto" w:fill="auto"/>
            <w:noWrap w:val="0"/>
            <w:vAlign w:val="center"/>
          </w:tcPr>
          <w:p w14:paraId="0BE30259">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626C913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破碎建筑垃圾、渣土、煤矸石等</w:t>
            </w:r>
          </w:p>
        </w:tc>
        <w:tc>
          <w:tcPr>
            <w:tcW w:w="646" w:type="pct"/>
            <w:vMerge w:val="continue"/>
            <w:tcBorders>
              <w:tl2br w:val="nil"/>
              <w:tr2bl w:val="nil"/>
            </w:tcBorders>
            <w:noWrap w:val="0"/>
            <w:vAlign w:val="center"/>
          </w:tcPr>
          <w:p w14:paraId="0901FAAC">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1C0B5B17">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09AF89F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850" w:type="pct"/>
            <w:tcBorders>
              <w:tl2br w:val="nil"/>
              <w:tr2bl w:val="nil"/>
            </w:tcBorders>
            <w:shd w:val="clear" w:color="auto" w:fill="auto"/>
            <w:noWrap w:val="0"/>
            <w:vAlign w:val="center"/>
          </w:tcPr>
          <w:p w14:paraId="3C99A5D4">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细碎锤式破碎机</w:t>
            </w:r>
          </w:p>
        </w:tc>
        <w:tc>
          <w:tcPr>
            <w:tcW w:w="1464" w:type="pct"/>
            <w:tcBorders>
              <w:tl2br w:val="nil"/>
              <w:tr2bl w:val="nil"/>
            </w:tcBorders>
            <w:shd w:val="clear" w:color="auto" w:fill="auto"/>
            <w:noWrap w:val="0"/>
            <w:vAlign w:val="center"/>
          </w:tcPr>
          <w:p w14:paraId="142BED11">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1100*1050</w:t>
            </w:r>
          </w:p>
        </w:tc>
        <w:tc>
          <w:tcPr>
            <w:tcW w:w="363" w:type="pct"/>
            <w:tcBorders>
              <w:tl2br w:val="nil"/>
              <w:tr2bl w:val="nil"/>
            </w:tcBorders>
            <w:shd w:val="clear" w:color="auto" w:fill="auto"/>
            <w:noWrap w:val="0"/>
            <w:vAlign w:val="center"/>
          </w:tcPr>
          <w:p w14:paraId="0591594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0E25EC08">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破碎建筑垃圾、渣土、煤矸石等</w:t>
            </w:r>
          </w:p>
        </w:tc>
        <w:tc>
          <w:tcPr>
            <w:tcW w:w="646" w:type="pct"/>
            <w:vMerge w:val="continue"/>
            <w:tcBorders>
              <w:tl2br w:val="nil"/>
              <w:tr2bl w:val="nil"/>
            </w:tcBorders>
            <w:noWrap w:val="0"/>
            <w:vAlign w:val="center"/>
          </w:tcPr>
          <w:p w14:paraId="5B4ED6C2">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2011FC0E">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542BF7F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850" w:type="pct"/>
            <w:tcBorders>
              <w:tl2br w:val="nil"/>
              <w:tr2bl w:val="nil"/>
            </w:tcBorders>
            <w:shd w:val="clear" w:color="auto" w:fill="auto"/>
            <w:noWrap w:val="0"/>
            <w:vAlign w:val="center"/>
          </w:tcPr>
          <w:p w14:paraId="071C344D">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滚筛机</w:t>
            </w:r>
          </w:p>
        </w:tc>
        <w:tc>
          <w:tcPr>
            <w:tcW w:w="1464" w:type="pct"/>
            <w:tcBorders>
              <w:tl2br w:val="nil"/>
              <w:tr2bl w:val="nil"/>
            </w:tcBorders>
            <w:shd w:val="clear" w:color="auto" w:fill="auto"/>
            <w:noWrap w:val="0"/>
            <w:vAlign w:val="center"/>
          </w:tcPr>
          <w:p w14:paraId="005EC5DC">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5m*2.5m</w:t>
            </w:r>
          </w:p>
        </w:tc>
        <w:tc>
          <w:tcPr>
            <w:tcW w:w="363" w:type="pct"/>
            <w:tcBorders>
              <w:tl2br w:val="nil"/>
              <w:tr2bl w:val="nil"/>
            </w:tcBorders>
            <w:shd w:val="clear" w:color="auto" w:fill="auto"/>
            <w:noWrap w:val="0"/>
            <w:vAlign w:val="center"/>
          </w:tcPr>
          <w:p w14:paraId="710740E1">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4B1C20AD">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筛分物料</w:t>
            </w:r>
          </w:p>
        </w:tc>
        <w:tc>
          <w:tcPr>
            <w:tcW w:w="646" w:type="pct"/>
            <w:vMerge w:val="continue"/>
            <w:tcBorders>
              <w:tl2br w:val="nil"/>
              <w:tr2bl w:val="nil"/>
            </w:tcBorders>
            <w:noWrap w:val="0"/>
            <w:vAlign w:val="center"/>
          </w:tcPr>
          <w:p w14:paraId="19A45832">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23ABAD17">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4739589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850" w:type="pct"/>
            <w:tcBorders>
              <w:tl2br w:val="nil"/>
              <w:tr2bl w:val="nil"/>
            </w:tcBorders>
            <w:shd w:val="clear" w:color="auto" w:fill="auto"/>
            <w:noWrap w:val="0"/>
            <w:vAlign w:val="center"/>
          </w:tcPr>
          <w:p w14:paraId="6D766042">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输送带</w:t>
            </w:r>
          </w:p>
        </w:tc>
        <w:tc>
          <w:tcPr>
            <w:tcW w:w="1464" w:type="pct"/>
            <w:tcBorders>
              <w:tl2br w:val="nil"/>
              <w:tr2bl w:val="nil"/>
            </w:tcBorders>
            <w:shd w:val="clear" w:color="auto" w:fill="auto"/>
            <w:noWrap w:val="0"/>
            <w:vAlign w:val="center"/>
          </w:tcPr>
          <w:p w14:paraId="3F800684">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800</w:t>
            </w:r>
          </w:p>
        </w:tc>
        <w:tc>
          <w:tcPr>
            <w:tcW w:w="363" w:type="pct"/>
            <w:tcBorders>
              <w:tl2br w:val="nil"/>
              <w:tr2bl w:val="nil"/>
            </w:tcBorders>
            <w:shd w:val="clear" w:color="auto" w:fill="auto"/>
            <w:noWrap w:val="0"/>
            <w:vAlign w:val="center"/>
          </w:tcPr>
          <w:p w14:paraId="35996D8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12条</w:t>
            </w:r>
          </w:p>
        </w:tc>
        <w:tc>
          <w:tcPr>
            <w:tcW w:w="1213" w:type="pct"/>
            <w:tcBorders>
              <w:tl2br w:val="nil"/>
              <w:tr2bl w:val="nil"/>
            </w:tcBorders>
            <w:shd w:val="clear" w:color="auto" w:fill="auto"/>
            <w:noWrap w:val="0"/>
            <w:vAlign w:val="center"/>
          </w:tcPr>
          <w:p w14:paraId="72B665BC">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14:textFill>
                  <w14:solidFill>
                    <w14:schemeClr w14:val="tx1"/>
                  </w14:solidFill>
                </w14:textFill>
              </w:rPr>
            </w:pPr>
          </w:p>
        </w:tc>
        <w:tc>
          <w:tcPr>
            <w:tcW w:w="646" w:type="pct"/>
            <w:vMerge w:val="continue"/>
            <w:tcBorders>
              <w:tl2br w:val="nil"/>
              <w:tr2bl w:val="nil"/>
            </w:tcBorders>
            <w:noWrap w:val="0"/>
            <w:vAlign w:val="center"/>
          </w:tcPr>
          <w:p w14:paraId="23D717CD">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23D0F2B2">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7F2B075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850" w:type="pct"/>
            <w:tcBorders>
              <w:tl2br w:val="nil"/>
              <w:tr2bl w:val="nil"/>
            </w:tcBorders>
            <w:shd w:val="clear" w:color="auto" w:fill="auto"/>
            <w:noWrap w:val="0"/>
            <w:vAlign w:val="center"/>
          </w:tcPr>
          <w:p w14:paraId="2D13E485">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双轴搅拌机</w:t>
            </w:r>
          </w:p>
        </w:tc>
        <w:tc>
          <w:tcPr>
            <w:tcW w:w="1464" w:type="pct"/>
            <w:tcBorders>
              <w:tl2br w:val="nil"/>
              <w:tr2bl w:val="nil"/>
            </w:tcBorders>
            <w:shd w:val="clear" w:color="auto" w:fill="auto"/>
            <w:noWrap w:val="0"/>
            <w:vAlign w:val="center"/>
          </w:tcPr>
          <w:p w14:paraId="192D1347">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SJ360*42</w:t>
            </w:r>
          </w:p>
        </w:tc>
        <w:tc>
          <w:tcPr>
            <w:tcW w:w="363" w:type="pct"/>
            <w:tcBorders>
              <w:tl2br w:val="nil"/>
              <w:tr2bl w:val="nil"/>
            </w:tcBorders>
            <w:shd w:val="clear" w:color="auto" w:fill="auto"/>
            <w:noWrap w:val="0"/>
            <w:vAlign w:val="center"/>
          </w:tcPr>
          <w:p w14:paraId="52CF9188">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29219235">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搅拌混合物料</w:t>
            </w:r>
          </w:p>
        </w:tc>
        <w:tc>
          <w:tcPr>
            <w:tcW w:w="646" w:type="pct"/>
            <w:vMerge w:val="continue"/>
            <w:tcBorders>
              <w:tl2br w:val="nil"/>
              <w:tr2bl w:val="nil"/>
            </w:tcBorders>
            <w:noWrap w:val="0"/>
            <w:vAlign w:val="center"/>
          </w:tcPr>
          <w:p w14:paraId="567A3E42">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7AD13B48">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6FC6562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850" w:type="pct"/>
            <w:tcBorders>
              <w:tl2br w:val="nil"/>
              <w:tr2bl w:val="nil"/>
            </w:tcBorders>
            <w:shd w:val="clear" w:color="auto" w:fill="auto"/>
            <w:noWrap w:val="0"/>
            <w:vAlign w:val="center"/>
          </w:tcPr>
          <w:p w14:paraId="05A58B2B">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高速细碎对辊机</w:t>
            </w:r>
          </w:p>
        </w:tc>
        <w:tc>
          <w:tcPr>
            <w:tcW w:w="1464" w:type="pct"/>
            <w:tcBorders>
              <w:tl2br w:val="nil"/>
              <w:tr2bl w:val="nil"/>
            </w:tcBorders>
            <w:shd w:val="clear" w:color="auto" w:fill="auto"/>
            <w:noWrap w:val="0"/>
            <w:vAlign w:val="center"/>
          </w:tcPr>
          <w:p w14:paraId="445B1AB7">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90kw</w:t>
            </w:r>
          </w:p>
        </w:tc>
        <w:tc>
          <w:tcPr>
            <w:tcW w:w="363" w:type="pct"/>
            <w:tcBorders>
              <w:tl2br w:val="nil"/>
              <w:tr2bl w:val="nil"/>
            </w:tcBorders>
            <w:shd w:val="clear" w:color="auto" w:fill="auto"/>
            <w:noWrap w:val="0"/>
            <w:vAlign w:val="center"/>
          </w:tcPr>
          <w:p w14:paraId="2D3B8CED">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1EFF10E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细碎物料</w:t>
            </w:r>
          </w:p>
        </w:tc>
        <w:tc>
          <w:tcPr>
            <w:tcW w:w="646" w:type="pct"/>
            <w:vMerge w:val="continue"/>
            <w:tcBorders>
              <w:tl2br w:val="nil"/>
              <w:tr2bl w:val="nil"/>
            </w:tcBorders>
            <w:noWrap w:val="0"/>
            <w:vAlign w:val="center"/>
          </w:tcPr>
          <w:p w14:paraId="5085F1F7">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078AB2E5">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7E91C41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850" w:type="pct"/>
            <w:tcBorders>
              <w:tl2br w:val="nil"/>
              <w:tr2bl w:val="nil"/>
            </w:tcBorders>
            <w:shd w:val="clear" w:color="auto" w:fill="auto"/>
            <w:noWrap w:val="0"/>
            <w:vAlign w:val="center"/>
          </w:tcPr>
          <w:p w14:paraId="19F8D400">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高真空搅拌挤出机</w:t>
            </w:r>
          </w:p>
          <w:p w14:paraId="5DF8213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p>
        </w:tc>
        <w:tc>
          <w:tcPr>
            <w:tcW w:w="1464" w:type="pct"/>
            <w:tcBorders>
              <w:tl2br w:val="nil"/>
              <w:tr2bl w:val="nil"/>
            </w:tcBorders>
            <w:shd w:val="clear" w:color="auto" w:fill="auto"/>
            <w:noWrap w:val="0"/>
            <w:vAlign w:val="center"/>
          </w:tcPr>
          <w:p w14:paraId="5A61FCC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JZK90H</w:t>
            </w:r>
          </w:p>
        </w:tc>
        <w:tc>
          <w:tcPr>
            <w:tcW w:w="363" w:type="pct"/>
            <w:tcBorders>
              <w:tl2br w:val="nil"/>
              <w:tr2bl w:val="nil"/>
            </w:tcBorders>
            <w:shd w:val="clear" w:color="auto" w:fill="auto"/>
            <w:noWrap w:val="0"/>
            <w:vAlign w:val="center"/>
          </w:tcPr>
          <w:p w14:paraId="2235B52A">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6751838F">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制坯</w:t>
            </w:r>
          </w:p>
        </w:tc>
        <w:tc>
          <w:tcPr>
            <w:tcW w:w="646" w:type="pct"/>
            <w:vMerge w:val="continue"/>
            <w:tcBorders>
              <w:tl2br w:val="nil"/>
              <w:tr2bl w:val="nil"/>
            </w:tcBorders>
            <w:noWrap w:val="0"/>
            <w:vAlign w:val="center"/>
          </w:tcPr>
          <w:p w14:paraId="5A61170F">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5D1F866A">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712657B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w:t>
            </w:r>
          </w:p>
        </w:tc>
        <w:tc>
          <w:tcPr>
            <w:tcW w:w="850" w:type="pct"/>
            <w:tcBorders>
              <w:tl2br w:val="nil"/>
              <w:tr2bl w:val="nil"/>
            </w:tcBorders>
            <w:shd w:val="clear" w:color="auto" w:fill="auto"/>
            <w:noWrap w:val="0"/>
            <w:vAlign w:val="center"/>
          </w:tcPr>
          <w:p w14:paraId="6440C8E4">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自动码坯机</w:t>
            </w:r>
          </w:p>
        </w:tc>
        <w:tc>
          <w:tcPr>
            <w:tcW w:w="1464" w:type="pct"/>
            <w:tcBorders>
              <w:tl2br w:val="nil"/>
              <w:tr2bl w:val="nil"/>
            </w:tcBorders>
            <w:shd w:val="clear" w:color="auto" w:fill="auto"/>
            <w:noWrap w:val="0"/>
            <w:vAlign w:val="center"/>
          </w:tcPr>
          <w:p w14:paraId="5D384F0D">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w:t>
            </w:r>
          </w:p>
        </w:tc>
        <w:tc>
          <w:tcPr>
            <w:tcW w:w="363" w:type="pct"/>
            <w:tcBorders>
              <w:tl2br w:val="nil"/>
              <w:tr2bl w:val="nil"/>
            </w:tcBorders>
            <w:shd w:val="clear" w:color="auto" w:fill="auto"/>
            <w:noWrap w:val="0"/>
            <w:vAlign w:val="center"/>
          </w:tcPr>
          <w:p w14:paraId="0429CACA">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25F82280">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码坯</w:t>
            </w:r>
          </w:p>
        </w:tc>
        <w:tc>
          <w:tcPr>
            <w:tcW w:w="646" w:type="pct"/>
            <w:vMerge w:val="continue"/>
            <w:tcBorders>
              <w:tl2br w:val="nil"/>
              <w:tr2bl w:val="nil"/>
            </w:tcBorders>
            <w:noWrap w:val="0"/>
            <w:vAlign w:val="center"/>
          </w:tcPr>
          <w:p w14:paraId="3DB3A218">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6CDB1D2D">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4E9B5E1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p>
        </w:tc>
        <w:tc>
          <w:tcPr>
            <w:tcW w:w="850" w:type="pct"/>
            <w:tcBorders>
              <w:tl2br w:val="nil"/>
              <w:tr2bl w:val="nil"/>
            </w:tcBorders>
            <w:shd w:val="clear" w:color="auto" w:fill="auto"/>
            <w:noWrap w:val="0"/>
            <w:vAlign w:val="center"/>
          </w:tcPr>
          <w:p w14:paraId="79A60DBB">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切坯机</w:t>
            </w:r>
          </w:p>
        </w:tc>
        <w:tc>
          <w:tcPr>
            <w:tcW w:w="1464" w:type="pct"/>
            <w:tcBorders>
              <w:tl2br w:val="nil"/>
              <w:tr2bl w:val="nil"/>
            </w:tcBorders>
            <w:shd w:val="clear" w:color="auto" w:fill="auto"/>
            <w:noWrap w:val="0"/>
            <w:vAlign w:val="center"/>
          </w:tcPr>
          <w:p w14:paraId="7A5D3E0B">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4kw</w:t>
            </w:r>
          </w:p>
        </w:tc>
        <w:tc>
          <w:tcPr>
            <w:tcW w:w="363" w:type="pct"/>
            <w:tcBorders>
              <w:tl2br w:val="nil"/>
              <w:tr2bl w:val="nil"/>
            </w:tcBorders>
            <w:shd w:val="clear" w:color="auto" w:fill="auto"/>
            <w:noWrap w:val="0"/>
            <w:vAlign w:val="center"/>
          </w:tcPr>
          <w:p w14:paraId="0EA4F9ED">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7C30556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切砖</w:t>
            </w:r>
          </w:p>
        </w:tc>
        <w:tc>
          <w:tcPr>
            <w:tcW w:w="646" w:type="pct"/>
            <w:vMerge w:val="continue"/>
            <w:tcBorders>
              <w:tl2br w:val="nil"/>
              <w:tr2bl w:val="nil"/>
            </w:tcBorders>
            <w:noWrap w:val="0"/>
            <w:vAlign w:val="center"/>
          </w:tcPr>
          <w:p w14:paraId="26A842CB">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6D19433B">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0E31F95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11</w:t>
            </w:r>
          </w:p>
        </w:tc>
        <w:tc>
          <w:tcPr>
            <w:tcW w:w="850" w:type="pct"/>
            <w:tcBorders>
              <w:tl2br w:val="nil"/>
              <w:tr2bl w:val="nil"/>
            </w:tcBorders>
            <w:shd w:val="clear" w:color="auto" w:fill="auto"/>
            <w:noWrap w:val="0"/>
            <w:vAlign w:val="center"/>
          </w:tcPr>
          <w:p w14:paraId="6AD28818">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切条机</w:t>
            </w:r>
          </w:p>
        </w:tc>
        <w:tc>
          <w:tcPr>
            <w:tcW w:w="1464" w:type="pct"/>
            <w:tcBorders>
              <w:tl2br w:val="nil"/>
              <w:tr2bl w:val="nil"/>
            </w:tcBorders>
            <w:shd w:val="clear" w:color="auto" w:fill="auto"/>
            <w:noWrap w:val="0"/>
            <w:vAlign w:val="center"/>
          </w:tcPr>
          <w:p w14:paraId="177BEFEA">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w:t>
            </w:r>
          </w:p>
        </w:tc>
        <w:tc>
          <w:tcPr>
            <w:tcW w:w="363" w:type="pct"/>
            <w:tcBorders>
              <w:tl2br w:val="nil"/>
              <w:tr2bl w:val="nil"/>
            </w:tcBorders>
            <w:shd w:val="clear" w:color="auto" w:fill="auto"/>
            <w:noWrap w:val="0"/>
            <w:vAlign w:val="center"/>
          </w:tcPr>
          <w:p w14:paraId="6B96DC5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2C3C2E1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切条</w:t>
            </w:r>
          </w:p>
        </w:tc>
        <w:tc>
          <w:tcPr>
            <w:tcW w:w="646" w:type="pct"/>
            <w:vMerge w:val="continue"/>
            <w:tcBorders>
              <w:tl2br w:val="nil"/>
              <w:tr2bl w:val="nil"/>
            </w:tcBorders>
            <w:noWrap w:val="0"/>
            <w:vAlign w:val="center"/>
          </w:tcPr>
          <w:p w14:paraId="5A8B82D7">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4194F4F4">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48EBF53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12</w:t>
            </w:r>
          </w:p>
        </w:tc>
        <w:tc>
          <w:tcPr>
            <w:tcW w:w="850" w:type="pct"/>
            <w:tcBorders>
              <w:tl2br w:val="nil"/>
              <w:tr2bl w:val="nil"/>
            </w:tcBorders>
            <w:shd w:val="clear" w:color="auto" w:fill="auto"/>
            <w:noWrap w:val="0"/>
            <w:vAlign w:val="center"/>
          </w:tcPr>
          <w:p w14:paraId="6AB4AD79">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叉车</w:t>
            </w:r>
          </w:p>
        </w:tc>
        <w:tc>
          <w:tcPr>
            <w:tcW w:w="1464" w:type="pct"/>
            <w:tcBorders>
              <w:tl2br w:val="nil"/>
              <w:tr2bl w:val="nil"/>
            </w:tcBorders>
            <w:shd w:val="clear" w:color="auto" w:fill="auto"/>
            <w:noWrap w:val="0"/>
            <w:vAlign w:val="center"/>
          </w:tcPr>
          <w:p w14:paraId="01CF5BB8">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3.5t</w:t>
            </w:r>
          </w:p>
        </w:tc>
        <w:tc>
          <w:tcPr>
            <w:tcW w:w="363" w:type="pct"/>
            <w:tcBorders>
              <w:tl2br w:val="nil"/>
              <w:tr2bl w:val="nil"/>
            </w:tcBorders>
            <w:shd w:val="clear" w:color="auto" w:fill="auto"/>
            <w:noWrap w:val="0"/>
            <w:vAlign w:val="center"/>
          </w:tcPr>
          <w:p w14:paraId="4A681ADA">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751E61B6">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码坯</w:t>
            </w:r>
          </w:p>
        </w:tc>
        <w:tc>
          <w:tcPr>
            <w:tcW w:w="646" w:type="pct"/>
            <w:vMerge w:val="restart"/>
            <w:tcBorders>
              <w:tl2br w:val="nil"/>
              <w:tr2bl w:val="nil"/>
            </w:tcBorders>
            <w:noWrap w:val="0"/>
            <w:vAlign w:val="center"/>
          </w:tcPr>
          <w:p w14:paraId="19220E96">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成品区</w:t>
            </w:r>
          </w:p>
        </w:tc>
      </w:tr>
      <w:tr w14:paraId="53CB1838">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06597DE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13</w:t>
            </w:r>
          </w:p>
        </w:tc>
        <w:tc>
          <w:tcPr>
            <w:tcW w:w="850" w:type="pct"/>
            <w:tcBorders>
              <w:tl2br w:val="nil"/>
              <w:tr2bl w:val="nil"/>
            </w:tcBorders>
            <w:shd w:val="clear" w:color="auto" w:fill="auto"/>
            <w:noWrap w:val="0"/>
            <w:vAlign w:val="center"/>
          </w:tcPr>
          <w:p w14:paraId="3343F7D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抱砖机</w:t>
            </w:r>
          </w:p>
        </w:tc>
        <w:tc>
          <w:tcPr>
            <w:tcW w:w="1464" w:type="pct"/>
            <w:tcBorders>
              <w:tl2br w:val="nil"/>
              <w:tr2bl w:val="nil"/>
            </w:tcBorders>
            <w:shd w:val="clear" w:color="auto" w:fill="auto"/>
            <w:noWrap w:val="0"/>
            <w:vAlign w:val="center"/>
          </w:tcPr>
          <w:p w14:paraId="358EEDE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eastAsia="zh-CN"/>
                <w14:textFill>
                  <w14:solidFill>
                    <w14:schemeClr w14:val="tx1"/>
                  </w14:solidFill>
                </w14:textFill>
              </w:rPr>
            </w:pPr>
          </w:p>
        </w:tc>
        <w:tc>
          <w:tcPr>
            <w:tcW w:w="363" w:type="pct"/>
            <w:tcBorders>
              <w:tl2br w:val="nil"/>
              <w:tr2bl w:val="nil"/>
            </w:tcBorders>
            <w:shd w:val="clear" w:color="auto" w:fill="auto"/>
            <w:noWrap w:val="0"/>
            <w:vAlign w:val="center"/>
          </w:tcPr>
          <w:p w14:paraId="0CEA842C">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2台</w:t>
            </w:r>
          </w:p>
        </w:tc>
        <w:tc>
          <w:tcPr>
            <w:tcW w:w="1213" w:type="pct"/>
            <w:tcBorders>
              <w:tl2br w:val="nil"/>
              <w:tr2bl w:val="nil"/>
            </w:tcBorders>
            <w:shd w:val="clear" w:color="auto" w:fill="auto"/>
            <w:noWrap w:val="0"/>
            <w:vAlign w:val="center"/>
          </w:tcPr>
          <w:p w14:paraId="3B2FD640">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14:textFill>
                  <w14:solidFill>
                    <w14:schemeClr w14:val="tx1"/>
                  </w14:solidFill>
                </w14:textFill>
              </w:rPr>
            </w:pPr>
          </w:p>
        </w:tc>
        <w:tc>
          <w:tcPr>
            <w:tcW w:w="646" w:type="pct"/>
            <w:vMerge w:val="continue"/>
            <w:tcBorders>
              <w:tl2br w:val="nil"/>
              <w:tr2bl w:val="nil"/>
            </w:tcBorders>
            <w:noWrap w:val="0"/>
            <w:vAlign w:val="center"/>
          </w:tcPr>
          <w:p w14:paraId="20B0F274">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171C2C6E">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shd w:val="clear" w:color="auto" w:fill="auto"/>
            <w:noWrap w:val="0"/>
            <w:vAlign w:val="center"/>
          </w:tcPr>
          <w:p w14:paraId="360A0E7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14</w:t>
            </w:r>
          </w:p>
        </w:tc>
        <w:tc>
          <w:tcPr>
            <w:tcW w:w="850" w:type="pct"/>
            <w:tcBorders>
              <w:tl2br w:val="nil"/>
              <w:tr2bl w:val="nil"/>
            </w:tcBorders>
            <w:shd w:val="clear" w:color="auto" w:fill="auto"/>
            <w:noWrap w:val="0"/>
            <w:vAlign w:val="center"/>
          </w:tcPr>
          <w:p w14:paraId="0D353BDF">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卸砖机</w:t>
            </w:r>
          </w:p>
        </w:tc>
        <w:tc>
          <w:tcPr>
            <w:tcW w:w="1464" w:type="pct"/>
            <w:tcBorders>
              <w:tl2br w:val="nil"/>
              <w:tr2bl w:val="nil"/>
            </w:tcBorders>
            <w:shd w:val="clear" w:color="auto" w:fill="auto"/>
            <w:noWrap w:val="0"/>
            <w:vAlign w:val="center"/>
          </w:tcPr>
          <w:p w14:paraId="00420AAB">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w:t>
            </w:r>
          </w:p>
        </w:tc>
        <w:tc>
          <w:tcPr>
            <w:tcW w:w="363" w:type="pct"/>
            <w:tcBorders>
              <w:tl2br w:val="nil"/>
              <w:tr2bl w:val="nil"/>
            </w:tcBorders>
            <w:shd w:val="clear" w:color="auto" w:fill="auto"/>
            <w:noWrap w:val="0"/>
            <w:vAlign w:val="center"/>
          </w:tcPr>
          <w:p w14:paraId="7C15A0A2">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351B13C9">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卸砖</w:t>
            </w:r>
          </w:p>
        </w:tc>
        <w:tc>
          <w:tcPr>
            <w:tcW w:w="646" w:type="pct"/>
            <w:vMerge w:val="continue"/>
            <w:tcBorders>
              <w:tl2br w:val="nil"/>
              <w:tr2bl w:val="nil"/>
            </w:tcBorders>
            <w:noWrap w:val="0"/>
            <w:vAlign w:val="center"/>
          </w:tcPr>
          <w:p w14:paraId="4B701657">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4904C9FF">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5FDF26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15</w:t>
            </w:r>
          </w:p>
        </w:tc>
        <w:tc>
          <w:tcPr>
            <w:tcW w:w="850" w:type="pct"/>
            <w:tcBorders>
              <w:tl2br w:val="nil"/>
              <w:tr2bl w:val="nil"/>
            </w:tcBorders>
            <w:shd w:val="clear" w:color="auto" w:fill="auto"/>
            <w:noWrap w:val="0"/>
            <w:vAlign w:val="center"/>
          </w:tcPr>
          <w:p w14:paraId="3E3681B0">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窑车</w:t>
            </w:r>
          </w:p>
        </w:tc>
        <w:tc>
          <w:tcPr>
            <w:tcW w:w="1464" w:type="pct"/>
            <w:tcBorders>
              <w:tl2br w:val="nil"/>
              <w:tr2bl w:val="nil"/>
            </w:tcBorders>
            <w:shd w:val="clear" w:color="auto" w:fill="auto"/>
            <w:noWrap w:val="0"/>
            <w:vAlign w:val="center"/>
          </w:tcPr>
          <w:p w14:paraId="448EC25A">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370*350</w:t>
            </w:r>
          </w:p>
        </w:tc>
        <w:tc>
          <w:tcPr>
            <w:tcW w:w="363" w:type="pct"/>
            <w:tcBorders>
              <w:tl2br w:val="nil"/>
              <w:tr2bl w:val="nil"/>
            </w:tcBorders>
            <w:shd w:val="clear" w:color="auto" w:fill="auto"/>
            <w:noWrap w:val="0"/>
            <w:vAlign w:val="center"/>
          </w:tcPr>
          <w:p w14:paraId="37B18CCF">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270台</w:t>
            </w:r>
          </w:p>
        </w:tc>
        <w:tc>
          <w:tcPr>
            <w:tcW w:w="1213" w:type="pct"/>
            <w:tcBorders>
              <w:tl2br w:val="nil"/>
              <w:tr2bl w:val="nil"/>
            </w:tcBorders>
            <w:shd w:val="clear" w:color="auto" w:fill="auto"/>
            <w:noWrap w:val="0"/>
            <w:vAlign w:val="center"/>
          </w:tcPr>
          <w:p w14:paraId="00603EA7">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14:textFill>
                  <w14:solidFill>
                    <w14:schemeClr w14:val="tx1"/>
                  </w14:solidFill>
                </w14:textFill>
              </w:rPr>
            </w:pPr>
          </w:p>
        </w:tc>
        <w:tc>
          <w:tcPr>
            <w:tcW w:w="646" w:type="pct"/>
            <w:vMerge w:val="restart"/>
            <w:tcBorders>
              <w:tl2br w:val="nil"/>
              <w:tr2bl w:val="nil"/>
            </w:tcBorders>
            <w:noWrap w:val="0"/>
            <w:vAlign w:val="center"/>
          </w:tcPr>
          <w:p w14:paraId="77D0B927">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隧道窑</w:t>
            </w:r>
          </w:p>
        </w:tc>
      </w:tr>
      <w:tr w14:paraId="2DAB6AEE">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011A301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16</w:t>
            </w:r>
          </w:p>
        </w:tc>
        <w:tc>
          <w:tcPr>
            <w:tcW w:w="850" w:type="pct"/>
            <w:tcBorders>
              <w:tl2br w:val="nil"/>
              <w:tr2bl w:val="nil"/>
            </w:tcBorders>
            <w:shd w:val="clear" w:color="auto" w:fill="auto"/>
            <w:noWrap w:val="0"/>
            <w:vAlign w:val="center"/>
          </w:tcPr>
          <w:p w14:paraId="2D1AF099">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烘烧一体式隧道窑</w:t>
            </w:r>
          </w:p>
        </w:tc>
        <w:tc>
          <w:tcPr>
            <w:tcW w:w="1464" w:type="pct"/>
            <w:tcBorders>
              <w:tl2br w:val="nil"/>
              <w:tr2bl w:val="nil"/>
            </w:tcBorders>
            <w:shd w:val="clear" w:color="auto" w:fill="auto"/>
            <w:noWrap w:val="0"/>
            <w:vAlign w:val="center"/>
          </w:tcPr>
          <w:p w14:paraId="131DAE2B">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108m</w:t>
            </w:r>
          </w:p>
        </w:tc>
        <w:tc>
          <w:tcPr>
            <w:tcW w:w="363" w:type="pct"/>
            <w:tcBorders>
              <w:tl2br w:val="nil"/>
              <w:tr2bl w:val="nil"/>
            </w:tcBorders>
            <w:shd w:val="clear" w:color="auto" w:fill="auto"/>
            <w:noWrap w:val="0"/>
            <w:vAlign w:val="center"/>
          </w:tcPr>
          <w:p w14:paraId="2CF9F6BA">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2条</w:t>
            </w:r>
          </w:p>
        </w:tc>
        <w:tc>
          <w:tcPr>
            <w:tcW w:w="1213" w:type="pct"/>
            <w:tcBorders>
              <w:tl2br w:val="nil"/>
              <w:tr2bl w:val="nil"/>
            </w:tcBorders>
            <w:shd w:val="clear" w:color="auto" w:fill="auto"/>
            <w:noWrap w:val="0"/>
            <w:vAlign w:val="center"/>
          </w:tcPr>
          <w:p w14:paraId="7C1DC1A4">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焙烧砖坯</w:t>
            </w:r>
          </w:p>
        </w:tc>
        <w:tc>
          <w:tcPr>
            <w:tcW w:w="646" w:type="pct"/>
            <w:vMerge w:val="continue"/>
            <w:tcBorders>
              <w:tl2br w:val="nil"/>
              <w:tr2bl w:val="nil"/>
            </w:tcBorders>
            <w:noWrap w:val="0"/>
            <w:vAlign w:val="center"/>
          </w:tcPr>
          <w:p w14:paraId="697EC5A0">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195D0947">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464D2FC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17</w:t>
            </w:r>
          </w:p>
        </w:tc>
        <w:tc>
          <w:tcPr>
            <w:tcW w:w="850" w:type="pct"/>
            <w:tcBorders>
              <w:tl2br w:val="nil"/>
              <w:tr2bl w:val="nil"/>
            </w:tcBorders>
            <w:shd w:val="clear" w:color="auto" w:fill="auto"/>
            <w:noWrap w:val="0"/>
            <w:vAlign w:val="center"/>
          </w:tcPr>
          <w:p w14:paraId="0DC659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脱硫塔</w:t>
            </w:r>
          </w:p>
        </w:tc>
        <w:tc>
          <w:tcPr>
            <w:tcW w:w="1464" w:type="pct"/>
            <w:tcBorders>
              <w:tl2br w:val="nil"/>
              <w:tr2bl w:val="nil"/>
            </w:tcBorders>
            <w:shd w:val="clear" w:color="auto" w:fill="auto"/>
            <w:noWrap w:val="0"/>
            <w:vAlign w:val="center"/>
          </w:tcPr>
          <w:p w14:paraId="2A6AA50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15m</w:t>
            </w:r>
          </w:p>
        </w:tc>
        <w:tc>
          <w:tcPr>
            <w:tcW w:w="363" w:type="pct"/>
            <w:tcBorders>
              <w:tl2br w:val="nil"/>
              <w:tr2bl w:val="nil"/>
            </w:tcBorders>
            <w:shd w:val="clear" w:color="auto" w:fill="auto"/>
            <w:noWrap w:val="0"/>
            <w:vAlign w:val="center"/>
          </w:tcPr>
          <w:p w14:paraId="2C39104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套</w:t>
            </w:r>
          </w:p>
        </w:tc>
        <w:tc>
          <w:tcPr>
            <w:tcW w:w="1213" w:type="pct"/>
            <w:tcBorders>
              <w:tl2br w:val="nil"/>
              <w:tr2bl w:val="nil"/>
            </w:tcBorders>
            <w:shd w:val="clear" w:color="auto" w:fill="auto"/>
            <w:noWrap w:val="0"/>
            <w:vAlign w:val="center"/>
          </w:tcPr>
          <w:p w14:paraId="0E7ED04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脱硫</w:t>
            </w:r>
          </w:p>
        </w:tc>
        <w:tc>
          <w:tcPr>
            <w:tcW w:w="646" w:type="pct"/>
            <w:vMerge w:val="continue"/>
            <w:tcBorders>
              <w:tl2br w:val="nil"/>
              <w:tr2bl w:val="nil"/>
            </w:tcBorders>
            <w:noWrap w:val="0"/>
            <w:vAlign w:val="center"/>
          </w:tcPr>
          <w:p w14:paraId="05FFD738">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1FACC497">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0295B61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18</w:t>
            </w:r>
          </w:p>
        </w:tc>
        <w:tc>
          <w:tcPr>
            <w:tcW w:w="850" w:type="pct"/>
            <w:tcBorders>
              <w:tl2br w:val="nil"/>
              <w:tr2bl w:val="nil"/>
            </w:tcBorders>
            <w:shd w:val="clear" w:color="auto" w:fill="auto"/>
            <w:noWrap w:val="0"/>
            <w:vAlign w:val="center"/>
          </w:tcPr>
          <w:p w14:paraId="1770739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摆渡车</w:t>
            </w:r>
          </w:p>
        </w:tc>
        <w:tc>
          <w:tcPr>
            <w:tcW w:w="1464" w:type="pct"/>
            <w:tcBorders>
              <w:tl2br w:val="nil"/>
              <w:tr2bl w:val="nil"/>
            </w:tcBorders>
            <w:shd w:val="clear" w:color="auto" w:fill="auto"/>
            <w:noWrap w:val="0"/>
            <w:vAlign w:val="center"/>
          </w:tcPr>
          <w:p w14:paraId="4763F78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p>
        </w:tc>
        <w:tc>
          <w:tcPr>
            <w:tcW w:w="363" w:type="pct"/>
            <w:tcBorders>
              <w:tl2br w:val="nil"/>
              <w:tr2bl w:val="nil"/>
            </w:tcBorders>
            <w:shd w:val="clear" w:color="auto" w:fill="auto"/>
            <w:noWrap w:val="0"/>
            <w:vAlign w:val="center"/>
          </w:tcPr>
          <w:p w14:paraId="14C28F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台</w:t>
            </w:r>
          </w:p>
        </w:tc>
        <w:tc>
          <w:tcPr>
            <w:tcW w:w="1213" w:type="pct"/>
            <w:tcBorders>
              <w:tl2br w:val="nil"/>
              <w:tr2bl w:val="nil"/>
            </w:tcBorders>
            <w:shd w:val="clear" w:color="auto" w:fill="auto"/>
            <w:noWrap w:val="0"/>
            <w:vAlign w:val="center"/>
          </w:tcPr>
          <w:p w14:paraId="7153487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生坯、成品运输</w:t>
            </w:r>
          </w:p>
        </w:tc>
        <w:tc>
          <w:tcPr>
            <w:tcW w:w="646" w:type="pct"/>
            <w:vMerge w:val="continue"/>
            <w:tcBorders>
              <w:tl2br w:val="nil"/>
              <w:tr2bl w:val="nil"/>
            </w:tcBorders>
            <w:noWrap w:val="0"/>
            <w:vAlign w:val="center"/>
          </w:tcPr>
          <w:p w14:paraId="7B181555">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752BC154">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181586B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19</w:t>
            </w:r>
          </w:p>
        </w:tc>
        <w:tc>
          <w:tcPr>
            <w:tcW w:w="850" w:type="pct"/>
            <w:tcBorders>
              <w:tl2br w:val="nil"/>
              <w:tr2bl w:val="nil"/>
            </w:tcBorders>
            <w:shd w:val="clear" w:color="auto" w:fill="auto"/>
            <w:noWrap w:val="0"/>
            <w:vAlign w:val="center"/>
          </w:tcPr>
          <w:p w14:paraId="1353E27F">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挖掘机</w:t>
            </w:r>
          </w:p>
        </w:tc>
        <w:tc>
          <w:tcPr>
            <w:tcW w:w="1464" w:type="pct"/>
            <w:tcBorders>
              <w:tl2br w:val="nil"/>
              <w:tr2bl w:val="nil"/>
            </w:tcBorders>
            <w:shd w:val="clear" w:color="auto" w:fill="auto"/>
            <w:noWrap w:val="0"/>
            <w:vAlign w:val="center"/>
          </w:tcPr>
          <w:p w14:paraId="0D19C35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w:t>
            </w:r>
          </w:p>
        </w:tc>
        <w:tc>
          <w:tcPr>
            <w:tcW w:w="363" w:type="pct"/>
            <w:tcBorders>
              <w:tl2br w:val="nil"/>
              <w:tr2bl w:val="nil"/>
            </w:tcBorders>
            <w:shd w:val="clear" w:color="auto" w:fill="auto"/>
            <w:noWrap w:val="0"/>
            <w:vAlign w:val="center"/>
          </w:tcPr>
          <w:p w14:paraId="41D1DF1A">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4C12B9BC">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挖掘渣土</w:t>
            </w:r>
          </w:p>
        </w:tc>
        <w:tc>
          <w:tcPr>
            <w:tcW w:w="646" w:type="pct"/>
            <w:tcBorders>
              <w:tl2br w:val="nil"/>
              <w:tr2bl w:val="nil"/>
            </w:tcBorders>
            <w:noWrap w:val="0"/>
            <w:vAlign w:val="center"/>
          </w:tcPr>
          <w:p w14:paraId="38038390">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原料</w:t>
            </w:r>
          </w:p>
        </w:tc>
      </w:tr>
      <w:tr w14:paraId="6486EF61">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15" w:hRule="atLeast"/>
          <w:jc w:val="center"/>
        </w:trPr>
        <w:tc>
          <w:tcPr>
            <w:tcW w:w="461" w:type="pct"/>
            <w:tcBorders>
              <w:tl2br w:val="nil"/>
              <w:tr2bl w:val="nil"/>
            </w:tcBorders>
            <w:noWrap w:val="0"/>
            <w:vAlign w:val="center"/>
          </w:tcPr>
          <w:p w14:paraId="3BD4345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w:t>
            </w:r>
          </w:p>
        </w:tc>
        <w:tc>
          <w:tcPr>
            <w:tcW w:w="850" w:type="pct"/>
            <w:tcBorders>
              <w:tl2br w:val="nil"/>
              <w:tr2bl w:val="nil"/>
            </w:tcBorders>
            <w:shd w:val="clear" w:color="auto" w:fill="auto"/>
            <w:noWrap w:val="0"/>
            <w:vAlign w:val="center"/>
          </w:tcPr>
          <w:p w14:paraId="5C9DD3E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工业雾炮机</w:t>
            </w:r>
          </w:p>
        </w:tc>
        <w:tc>
          <w:tcPr>
            <w:tcW w:w="1464" w:type="pct"/>
            <w:tcBorders>
              <w:tl2br w:val="nil"/>
              <w:tr2bl w:val="nil"/>
            </w:tcBorders>
            <w:shd w:val="clear" w:color="auto" w:fill="auto"/>
            <w:noWrap w:val="0"/>
            <w:vAlign w:val="center"/>
          </w:tcPr>
          <w:p w14:paraId="62DEC1BC">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w:t>
            </w:r>
          </w:p>
        </w:tc>
        <w:tc>
          <w:tcPr>
            <w:tcW w:w="363" w:type="pct"/>
            <w:tcBorders>
              <w:tl2br w:val="nil"/>
              <w:tr2bl w:val="nil"/>
            </w:tcBorders>
            <w:shd w:val="clear" w:color="auto" w:fill="auto"/>
            <w:noWrap w:val="0"/>
            <w:vAlign w:val="center"/>
          </w:tcPr>
          <w:p w14:paraId="50A8473B">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68744B74">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除尘</w:t>
            </w:r>
          </w:p>
        </w:tc>
        <w:tc>
          <w:tcPr>
            <w:tcW w:w="646" w:type="pct"/>
            <w:vMerge w:val="restart"/>
            <w:tcBorders>
              <w:tl2br w:val="nil"/>
              <w:tr2bl w:val="nil"/>
            </w:tcBorders>
            <w:noWrap w:val="0"/>
            <w:vAlign w:val="center"/>
          </w:tcPr>
          <w:p w14:paraId="57FFABD5">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辅助区</w:t>
            </w:r>
          </w:p>
        </w:tc>
      </w:tr>
      <w:tr w14:paraId="11A1B683">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425" w:hRule="atLeast"/>
          <w:jc w:val="center"/>
        </w:trPr>
        <w:tc>
          <w:tcPr>
            <w:tcW w:w="461" w:type="pct"/>
            <w:tcBorders>
              <w:tl2br w:val="nil"/>
              <w:tr2bl w:val="nil"/>
            </w:tcBorders>
            <w:noWrap w:val="0"/>
            <w:vAlign w:val="center"/>
          </w:tcPr>
          <w:p w14:paraId="5C11B2D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21</w:t>
            </w:r>
          </w:p>
        </w:tc>
        <w:tc>
          <w:tcPr>
            <w:tcW w:w="850" w:type="pct"/>
            <w:tcBorders>
              <w:tl2br w:val="nil"/>
              <w:tr2bl w:val="nil"/>
            </w:tcBorders>
            <w:shd w:val="clear" w:color="auto" w:fill="auto"/>
            <w:noWrap w:val="0"/>
            <w:vAlign w:val="center"/>
          </w:tcPr>
          <w:p w14:paraId="0021338F">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气箱脉冲除尘器</w:t>
            </w:r>
          </w:p>
        </w:tc>
        <w:tc>
          <w:tcPr>
            <w:tcW w:w="1464" w:type="pct"/>
            <w:tcBorders>
              <w:tl2br w:val="nil"/>
              <w:tr2bl w:val="nil"/>
            </w:tcBorders>
            <w:shd w:val="clear" w:color="auto" w:fill="auto"/>
            <w:noWrap w:val="0"/>
            <w:vAlign w:val="center"/>
          </w:tcPr>
          <w:p w14:paraId="2AC40EF8">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w:t>
            </w:r>
          </w:p>
        </w:tc>
        <w:tc>
          <w:tcPr>
            <w:tcW w:w="363" w:type="pct"/>
            <w:tcBorders>
              <w:tl2br w:val="nil"/>
              <w:tr2bl w:val="nil"/>
            </w:tcBorders>
            <w:shd w:val="clear" w:color="auto" w:fill="auto"/>
            <w:noWrap w:val="0"/>
            <w:vAlign w:val="center"/>
          </w:tcPr>
          <w:p w14:paraId="10EA2196">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1台</w:t>
            </w:r>
          </w:p>
        </w:tc>
        <w:tc>
          <w:tcPr>
            <w:tcW w:w="1213" w:type="pct"/>
            <w:tcBorders>
              <w:tl2br w:val="nil"/>
              <w:tr2bl w:val="nil"/>
            </w:tcBorders>
            <w:shd w:val="clear" w:color="auto" w:fill="auto"/>
            <w:noWrap w:val="0"/>
            <w:vAlign w:val="center"/>
          </w:tcPr>
          <w:p w14:paraId="21CC77C1">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除尘</w:t>
            </w:r>
          </w:p>
        </w:tc>
        <w:tc>
          <w:tcPr>
            <w:tcW w:w="646" w:type="pct"/>
            <w:vMerge w:val="continue"/>
            <w:tcBorders>
              <w:tl2br w:val="nil"/>
              <w:tr2bl w:val="nil"/>
            </w:tcBorders>
            <w:noWrap w:val="0"/>
            <w:vAlign w:val="center"/>
          </w:tcPr>
          <w:p w14:paraId="01E5681E">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r w14:paraId="3392AC04">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312" w:hRule="atLeast"/>
          <w:jc w:val="center"/>
        </w:trPr>
        <w:tc>
          <w:tcPr>
            <w:tcW w:w="461" w:type="pct"/>
            <w:tcBorders>
              <w:tl2br w:val="nil"/>
              <w:tr2bl w:val="nil"/>
            </w:tcBorders>
            <w:noWrap w:val="0"/>
            <w:vAlign w:val="center"/>
          </w:tcPr>
          <w:p w14:paraId="6A6CFBB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22</w:t>
            </w:r>
          </w:p>
        </w:tc>
        <w:tc>
          <w:tcPr>
            <w:tcW w:w="850" w:type="pct"/>
            <w:tcBorders>
              <w:tl2br w:val="nil"/>
              <w:tr2bl w:val="nil"/>
            </w:tcBorders>
            <w:shd w:val="clear" w:color="auto" w:fill="auto"/>
            <w:noWrap w:val="0"/>
            <w:vAlign w:val="center"/>
          </w:tcPr>
          <w:p w14:paraId="1D67820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变压器</w:t>
            </w:r>
          </w:p>
        </w:tc>
        <w:tc>
          <w:tcPr>
            <w:tcW w:w="1464" w:type="pct"/>
            <w:tcBorders>
              <w:tl2br w:val="nil"/>
              <w:tr2bl w:val="nil"/>
            </w:tcBorders>
            <w:shd w:val="clear" w:color="auto" w:fill="auto"/>
            <w:noWrap w:val="0"/>
            <w:vAlign w:val="center"/>
          </w:tcPr>
          <w:p w14:paraId="7E655C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1000KVA、250KVA</w:t>
            </w:r>
          </w:p>
        </w:tc>
        <w:tc>
          <w:tcPr>
            <w:tcW w:w="363" w:type="pct"/>
            <w:tcBorders>
              <w:tl2br w:val="nil"/>
              <w:tr2bl w:val="nil"/>
            </w:tcBorders>
            <w:shd w:val="clear" w:color="auto" w:fill="auto"/>
            <w:noWrap w:val="0"/>
            <w:vAlign w:val="center"/>
          </w:tcPr>
          <w:p w14:paraId="0DFEB04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2台</w:t>
            </w:r>
          </w:p>
        </w:tc>
        <w:tc>
          <w:tcPr>
            <w:tcW w:w="1213" w:type="pct"/>
            <w:tcBorders>
              <w:tl2br w:val="nil"/>
              <w:tr2bl w:val="nil"/>
            </w:tcBorders>
            <w:shd w:val="clear" w:color="auto" w:fill="auto"/>
            <w:noWrap w:val="0"/>
            <w:vAlign w:val="center"/>
          </w:tcPr>
          <w:p w14:paraId="068034C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供电</w:t>
            </w:r>
          </w:p>
        </w:tc>
        <w:tc>
          <w:tcPr>
            <w:tcW w:w="646" w:type="pct"/>
            <w:vMerge w:val="continue"/>
            <w:tcBorders>
              <w:tl2br w:val="nil"/>
              <w:tr2bl w:val="nil"/>
            </w:tcBorders>
            <w:shd w:val="clear" w:color="auto" w:fill="auto"/>
            <w:noWrap w:val="0"/>
            <w:vAlign w:val="center"/>
          </w:tcPr>
          <w:p w14:paraId="7F56F7E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p>
        </w:tc>
      </w:tr>
      <w:tr w14:paraId="67FC4DB6">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415" w:hRule="atLeast"/>
          <w:jc w:val="center"/>
        </w:trPr>
        <w:tc>
          <w:tcPr>
            <w:tcW w:w="461" w:type="pct"/>
            <w:tcBorders>
              <w:tl2br w:val="nil"/>
              <w:tr2bl w:val="nil"/>
            </w:tcBorders>
            <w:noWrap w:val="0"/>
            <w:vAlign w:val="center"/>
          </w:tcPr>
          <w:p w14:paraId="0AADB9A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23</w:t>
            </w:r>
          </w:p>
        </w:tc>
        <w:tc>
          <w:tcPr>
            <w:tcW w:w="850" w:type="pct"/>
            <w:tcBorders>
              <w:tl2br w:val="nil"/>
              <w:tr2bl w:val="nil"/>
            </w:tcBorders>
            <w:shd w:val="clear" w:color="auto" w:fill="auto"/>
            <w:noWrap w:val="0"/>
            <w:vAlign w:val="center"/>
          </w:tcPr>
          <w:p w14:paraId="67BD5EF2">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洒水车</w:t>
            </w:r>
          </w:p>
        </w:tc>
        <w:tc>
          <w:tcPr>
            <w:tcW w:w="1464" w:type="pct"/>
            <w:tcBorders>
              <w:tl2br w:val="nil"/>
              <w:tr2bl w:val="nil"/>
            </w:tcBorders>
            <w:shd w:val="clear" w:color="auto" w:fill="auto"/>
            <w:noWrap w:val="0"/>
            <w:vAlign w:val="center"/>
          </w:tcPr>
          <w:p w14:paraId="67D874C1">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w:t>
            </w:r>
          </w:p>
        </w:tc>
        <w:tc>
          <w:tcPr>
            <w:tcW w:w="363" w:type="pct"/>
            <w:tcBorders>
              <w:tl2br w:val="nil"/>
              <w:tr2bl w:val="nil"/>
            </w:tcBorders>
            <w:shd w:val="clear" w:color="auto" w:fill="auto"/>
            <w:noWrap w:val="0"/>
            <w:vAlign w:val="center"/>
          </w:tcPr>
          <w:p w14:paraId="461778A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1辆</w:t>
            </w:r>
          </w:p>
        </w:tc>
        <w:tc>
          <w:tcPr>
            <w:tcW w:w="1213" w:type="pct"/>
            <w:tcBorders>
              <w:tl2br w:val="nil"/>
              <w:tr2bl w:val="nil"/>
            </w:tcBorders>
            <w:shd w:val="clear" w:color="auto" w:fill="auto"/>
            <w:noWrap w:val="0"/>
            <w:vAlign w:val="center"/>
          </w:tcPr>
          <w:p w14:paraId="55A229AD">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Cs/>
                <w:color w:val="000000" w:themeColor="text1"/>
                <w:sz w:val="21"/>
                <w:szCs w:val="21"/>
                <w:lang w:val="en-US" w:eastAsia="zh-CN" w:bidi="ar-SA"/>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洒水降尘</w:t>
            </w:r>
          </w:p>
        </w:tc>
        <w:tc>
          <w:tcPr>
            <w:tcW w:w="646" w:type="pct"/>
            <w:vMerge w:val="continue"/>
            <w:tcBorders>
              <w:tl2br w:val="nil"/>
              <w:tr2bl w:val="nil"/>
            </w:tcBorders>
            <w:noWrap w:val="0"/>
            <w:vAlign w:val="center"/>
          </w:tcPr>
          <w:p w14:paraId="3ADCE6D9">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outlineLvl w:val="9"/>
              <w:rPr>
                <w:rFonts w:hint="eastAsia" w:ascii="宋体" w:hAnsi="宋体" w:eastAsia="宋体" w:cs="宋体"/>
                <w:color w:val="000000" w:themeColor="text1"/>
                <w:sz w:val="21"/>
                <w:szCs w:val="21"/>
                <w:lang w:eastAsia="zh-CN"/>
                <w14:textFill>
                  <w14:solidFill>
                    <w14:schemeClr w14:val="tx1"/>
                  </w14:solidFill>
                </w14:textFill>
              </w:rPr>
            </w:pPr>
          </w:p>
        </w:tc>
      </w:tr>
    </w:tbl>
    <w:p w14:paraId="588A6C3A">
      <w:pPr>
        <w:keepNext w:val="0"/>
        <w:keepLines w:val="0"/>
        <w:pageBreakBefore w:val="0"/>
        <w:widowControl w:val="0"/>
        <w:kinsoku/>
        <w:wordWrap/>
        <w:overflowPunct/>
        <w:topLinePunct w:val="0"/>
        <w:autoSpaceDE/>
        <w:autoSpaceDN/>
        <w:bidi w:val="0"/>
        <w:adjustRightInd/>
        <w:snapToGrid w:val="0"/>
        <w:textAlignment w:val="auto"/>
        <w:outlineLvl w:val="9"/>
        <w:rPr>
          <w:color w:val="000000" w:themeColor="text1"/>
          <w14:textFill>
            <w14:solidFill>
              <w14:schemeClr w14:val="tx1"/>
            </w14:solidFill>
          </w14:textFill>
        </w:rPr>
      </w:pPr>
    </w:p>
    <w:bookmarkEnd w:id="193"/>
    <w:bookmarkEnd w:id="194"/>
    <w:p w14:paraId="6C8EA969">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197" w:name="_Toc4304"/>
      <w:bookmarkStart w:id="198" w:name="_Toc436"/>
      <w:r>
        <w:rPr>
          <w:rFonts w:hint="default" w:ascii="Times New Roman" w:hAnsi="Times New Roman" w:eastAsia="楷体" w:cs="Times New Roman"/>
          <w:color w:val="000000" w:themeColor="text1"/>
          <w14:textFill>
            <w14:solidFill>
              <w14:schemeClr w14:val="tx1"/>
            </w14:solidFill>
          </w14:textFill>
        </w:rPr>
        <w:t>2.5</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公用工程及辅助工程</w:t>
      </w:r>
      <w:bookmarkEnd w:id="197"/>
      <w:bookmarkEnd w:id="198"/>
    </w:p>
    <w:p w14:paraId="68FF14B3">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199" w:name="_Toc5146"/>
      <w:bookmarkStart w:id="200" w:name="_Toc19106"/>
      <w:r>
        <w:rPr>
          <w:rFonts w:hint="default" w:ascii="Times New Roman" w:hAnsi="Times New Roman" w:eastAsia="黑体" w:cs="Times New Roman"/>
          <w:color w:val="000000" w:themeColor="text1"/>
          <w14:textFill>
            <w14:solidFill>
              <w14:schemeClr w14:val="tx1"/>
            </w14:solidFill>
          </w14:textFill>
        </w:rPr>
        <w:t>2.5.1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给排水</w:t>
      </w:r>
      <w:bookmarkEnd w:id="199"/>
      <w:bookmarkEnd w:id="200"/>
    </w:p>
    <w:p w14:paraId="78E6F538">
      <w:pPr>
        <w:pStyle w:val="6"/>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2.5.1.1 给水</w:t>
      </w:r>
    </w:p>
    <w:p w14:paraId="1FA8233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Times New Roman"/>
          <w:color w:val="000000" w:themeColor="text1"/>
          <w:sz w:val="28"/>
          <w:szCs w:val="28"/>
          <w:lang w:val="en-US" w:eastAsia="zh-CN"/>
          <w14:textFill>
            <w14:solidFill>
              <w14:schemeClr w14:val="tx1"/>
            </w14:solidFill>
          </w14:textFill>
        </w:rPr>
      </w:pPr>
      <w:r>
        <w:rPr>
          <w:rFonts w:hint="eastAsia" w:ascii="宋体" w:hAnsi="宋体" w:eastAsia="宋体" w:cs="Times New Roman"/>
          <w:color w:val="000000" w:themeColor="text1"/>
          <w:sz w:val="28"/>
          <w:szCs w:val="28"/>
          <w:lang w:val="en-US" w:eastAsia="zh-CN"/>
          <w14:textFill>
            <w14:solidFill>
              <w14:schemeClr w14:val="tx1"/>
            </w14:solidFill>
          </w14:textFill>
        </w:rPr>
        <w:t>生产用水由</w:t>
      </w:r>
      <w:r>
        <w:rPr>
          <w:rFonts w:hint="eastAsia" w:hAnsi="宋体" w:cs="Times New Roman"/>
          <w:color w:val="000000" w:themeColor="text1"/>
          <w:sz w:val="28"/>
          <w:szCs w:val="28"/>
          <w:lang w:val="en-US" w:eastAsia="zh-CN"/>
          <w14:textFill>
            <w14:solidFill>
              <w14:schemeClr w14:val="tx1"/>
            </w14:solidFill>
          </w14:textFill>
        </w:rPr>
        <w:t>龙马池大坝</w:t>
      </w:r>
      <w:r>
        <w:rPr>
          <w:rFonts w:hint="eastAsia" w:ascii="宋体" w:hAnsi="宋体" w:eastAsia="宋体" w:cs="Times New Roman"/>
          <w:color w:val="000000" w:themeColor="text1"/>
          <w:sz w:val="28"/>
          <w:szCs w:val="28"/>
          <w:lang w:val="en-US" w:eastAsia="zh-CN"/>
          <w14:textFill>
            <w14:solidFill>
              <w14:schemeClr w14:val="tx1"/>
            </w14:solidFill>
          </w14:textFill>
        </w:rPr>
        <w:t>供给</w:t>
      </w:r>
      <w:r>
        <w:rPr>
          <w:rFonts w:hint="eastAsia" w:hAnsi="宋体" w:cs="Times New Roman"/>
          <w:color w:val="000000" w:themeColor="text1"/>
          <w:sz w:val="28"/>
          <w:szCs w:val="28"/>
          <w:lang w:val="en-US" w:eastAsia="zh-CN"/>
          <w14:textFill>
            <w14:solidFill>
              <w14:schemeClr w14:val="tx1"/>
            </w14:solidFill>
          </w14:textFill>
        </w:rPr>
        <w:t>，</w:t>
      </w:r>
      <w:r>
        <w:rPr>
          <w:rFonts w:hint="eastAsia" w:ascii="宋体" w:hAnsi="宋体" w:eastAsia="宋体" w:cs="Times New Roman"/>
          <w:color w:val="000000" w:themeColor="text1"/>
          <w:sz w:val="28"/>
          <w:szCs w:val="28"/>
          <w:lang w:val="en-US" w:eastAsia="zh-CN"/>
          <w14:textFill>
            <w14:solidFill>
              <w14:schemeClr w14:val="tx1"/>
            </w14:solidFill>
          </w14:textFill>
        </w:rPr>
        <w:t>生活用水由乡镇自来水供水管网供给，项目用水包括生产用水、设备、生活用水等，供水能够满足公司生产用水的要求。</w:t>
      </w:r>
    </w:p>
    <w:p w14:paraId="6371CF6D">
      <w:pPr>
        <w:pStyle w:val="6"/>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2.5.1.2 排水</w:t>
      </w:r>
    </w:p>
    <w:p w14:paraId="01DFE36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01" w:name="_Toc2481"/>
      <w:r>
        <w:rPr>
          <w:rFonts w:hint="default" w:ascii="Times New Roman" w:hAnsi="Times New Roman" w:cs="Times New Roman"/>
          <w:bCs/>
          <w:color w:val="000000" w:themeColor="text1"/>
          <w:sz w:val="28"/>
          <w:szCs w:val="28"/>
          <w14:textFill>
            <w14:solidFill>
              <w14:schemeClr w14:val="tx1"/>
            </w14:solidFill>
          </w14:textFill>
        </w:rPr>
        <w:t>排水系统采取雨、污分流方式排放</w:t>
      </w:r>
      <w:r>
        <w:rPr>
          <w:rFonts w:hint="eastAsia" w:ascii="Times New Roman" w:hAnsi="Times New Roman" w:cs="Times New Roman"/>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项目区内已建雨水沟渠，雨水经雨水沟渠收集后外排；生活污水依托砖厂已建化粪池处理后，用于周边耕地施肥。</w:t>
      </w:r>
    </w:p>
    <w:p w14:paraId="5A016980">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202" w:name="_Toc8665"/>
      <w:bookmarkStart w:id="203" w:name="_Toc934"/>
      <w:r>
        <w:rPr>
          <w:rFonts w:hint="default" w:ascii="Times New Roman" w:hAnsi="Times New Roman" w:eastAsia="黑体" w:cs="Times New Roman"/>
          <w:color w:val="000000" w:themeColor="text1"/>
          <w14:textFill>
            <w14:solidFill>
              <w14:schemeClr w14:val="tx1"/>
            </w14:solidFill>
          </w14:textFill>
        </w:rPr>
        <w:t>2.5.2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供配电</w:t>
      </w:r>
      <w:bookmarkEnd w:id="201"/>
      <w:bookmarkEnd w:id="202"/>
      <w:bookmarkEnd w:id="203"/>
    </w:p>
    <w:p w14:paraId="064D71D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Times New Roman"/>
          <w:color w:val="000000" w:themeColor="text1"/>
          <w:sz w:val="28"/>
          <w:szCs w:val="28"/>
          <w:lang w:val="en-US" w:eastAsia="zh-CN"/>
          <w14:textFill>
            <w14:solidFill>
              <w14:schemeClr w14:val="tx1"/>
            </w14:solidFill>
          </w14:textFill>
        </w:rPr>
      </w:pPr>
      <w:r>
        <w:rPr>
          <w:rFonts w:hint="eastAsia" w:ascii="宋体" w:hAnsi="宋体" w:eastAsia="宋体" w:cs="Times New Roman"/>
          <w:color w:val="000000" w:themeColor="text1"/>
          <w:sz w:val="28"/>
          <w:szCs w:val="28"/>
          <w:lang w:val="en-US" w:eastAsia="zh-CN"/>
          <w14:textFill>
            <w14:solidFill>
              <w14:schemeClr w14:val="tx1"/>
            </w14:solidFill>
          </w14:textFill>
        </w:rPr>
        <w:t>该项目生产、生活用电由</w:t>
      </w:r>
      <w:r>
        <w:rPr>
          <w:rFonts w:hint="eastAsia" w:hAnsi="宋体" w:cs="Times New Roman"/>
          <w:color w:val="000000" w:themeColor="text1"/>
          <w:sz w:val="28"/>
          <w:szCs w:val="28"/>
          <w:lang w:val="en-US" w:eastAsia="zh-CN"/>
          <w14:textFill>
            <w14:solidFill>
              <w14:schemeClr w14:val="tx1"/>
            </w14:solidFill>
          </w14:textFill>
        </w:rPr>
        <w:t>当地供电所供给，厂区安装了250KVA和1000KVA变压器各1台，经变压器</w:t>
      </w:r>
      <w:r>
        <w:rPr>
          <w:rFonts w:hint="eastAsia" w:ascii="宋体" w:hAnsi="宋体" w:eastAsia="宋体" w:cs="Times New Roman"/>
          <w:color w:val="000000" w:themeColor="text1"/>
          <w:sz w:val="28"/>
          <w:szCs w:val="28"/>
          <w:lang w:val="en-US" w:eastAsia="zh-CN"/>
          <w14:textFill>
            <w14:solidFill>
              <w14:schemeClr w14:val="tx1"/>
            </w14:solidFill>
          </w14:textFill>
        </w:rPr>
        <w:t>降压输出后使用。动力用电380V，生活用电220V。厂区设配电室，电源由配电房直接供电。</w:t>
      </w:r>
    </w:p>
    <w:p w14:paraId="10651EEA">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204" w:name="_Toc21017"/>
      <w:bookmarkStart w:id="205" w:name="_Toc20634"/>
      <w:bookmarkStart w:id="206" w:name="_Toc14522"/>
      <w:r>
        <w:rPr>
          <w:rFonts w:hint="default" w:ascii="Times New Roman" w:hAnsi="Times New Roman" w:eastAsia="黑体" w:cs="Times New Roman"/>
          <w:color w:val="000000" w:themeColor="text1"/>
          <w14:textFill>
            <w14:solidFill>
              <w14:schemeClr w14:val="tx1"/>
            </w14:solidFill>
          </w14:textFill>
        </w:rPr>
        <w:t>2.5.3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防雷防静电</w:t>
      </w:r>
      <w:bookmarkEnd w:id="204"/>
      <w:bookmarkEnd w:id="205"/>
      <w:bookmarkEnd w:id="206"/>
    </w:p>
    <w:p w14:paraId="02D142BF">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项目范围内的建（构）筑物均已按第三类防雷建筑物建设防雷接地装置，生产车间、办公楼等建（构）筑物均进行了相应的防雷接地。于202</w:t>
      </w:r>
      <w:r>
        <w:rPr>
          <w:rFonts w:hint="eastAsia" w:ascii="宋体" w:hAnsi="宋体" w:cs="宋体"/>
          <w:color w:val="000000" w:themeColor="text1"/>
          <w:sz w:val="28"/>
          <w:lang w:val="en-US" w:eastAsia="zh-CN"/>
          <w14:textFill>
            <w14:solidFill>
              <w14:schemeClr w14:val="tx1"/>
            </w14:solidFill>
          </w14:textFill>
        </w:rPr>
        <w:t>4</w:t>
      </w:r>
      <w:r>
        <w:rPr>
          <w:rFonts w:hint="eastAsia" w:ascii="宋体" w:hAnsi="宋体" w:cs="宋体"/>
          <w:color w:val="000000" w:themeColor="text1"/>
          <w:sz w:val="28"/>
          <w14:textFill>
            <w14:solidFill>
              <w14:schemeClr w14:val="tx1"/>
            </w14:solidFill>
          </w14:textFill>
        </w:rPr>
        <w:t>年</w:t>
      </w:r>
      <w:r>
        <w:rPr>
          <w:rFonts w:hint="eastAsia" w:ascii="宋体" w:hAnsi="宋体" w:cs="宋体"/>
          <w:color w:val="000000" w:themeColor="text1"/>
          <w:sz w:val="28"/>
          <w:lang w:val="en-US" w:eastAsia="zh-CN"/>
          <w14:textFill>
            <w14:solidFill>
              <w14:schemeClr w14:val="tx1"/>
            </w14:solidFill>
          </w14:textFill>
        </w:rPr>
        <w:t>9</w:t>
      </w:r>
      <w:r>
        <w:rPr>
          <w:rFonts w:hint="eastAsia" w:ascii="宋体" w:hAnsi="宋体" w:cs="宋体"/>
          <w:color w:val="000000" w:themeColor="text1"/>
          <w:sz w:val="28"/>
          <w14:textFill>
            <w14:solidFill>
              <w14:schemeClr w14:val="tx1"/>
            </w14:solidFill>
          </w14:textFill>
        </w:rPr>
        <w:t>月</w:t>
      </w:r>
      <w:r>
        <w:rPr>
          <w:rFonts w:hint="eastAsia" w:ascii="宋体" w:hAnsi="宋体" w:cs="宋体"/>
          <w:color w:val="000000" w:themeColor="text1"/>
          <w:sz w:val="28"/>
          <w:lang w:val="en-US" w:eastAsia="zh-CN"/>
          <w14:textFill>
            <w14:solidFill>
              <w14:schemeClr w14:val="tx1"/>
            </w14:solidFill>
          </w14:textFill>
        </w:rPr>
        <w:t>24</w:t>
      </w:r>
      <w:r>
        <w:rPr>
          <w:rFonts w:hint="eastAsia" w:ascii="宋体" w:hAnsi="宋体" w:cs="宋体"/>
          <w:color w:val="000000" w:themeColor="text1"/>
          <w:sz w:val="28"/>
          <w14:textFill>
            <w14:solidFill>
              <w14:schemeClr w14:val="tx1"/>
            </w14:solidFill>
          </w14:textFill>
        </w:rPr>
        <w:t>日委托防雷装置进行检测，检测结果均为合格，</w:t>
      </w:r>
      <w:r>
        <w:rPr>
          <w:rFonts w:hint="eastAsia" w:ascii="宋体" w:hAnsi="宋体" w:eastAsia="宋体" w:cs="宋体"/>
          <w:color w:val="000000" w:themeColor="text1"/>
          <w:sz w:val="28"/>
          <w14:textFill>
            <w14:solidFill>
              <w14:schemeClr w14:val="tx1"/>
            </w14:solidFill>
          </w14:textFill>
        </w:rPr>
        <w:t>报告编号：</w:t>
      </w:r>
      <w:r>
        <w:rPr>
          <w:rFonts w:hint="eastAsia" w:ascii="宋体" w:hAnsi="宋体" w:eastAsia="宋体" w:cs="宋体"/>
          <w:color w:val="000000" w:themeColor="text1"/>
          <w:sz w:val="28"/>
          <w:lang w:val="en-US" w:eastAsia="zh-CN"/>
          <w14:textFill>
            <w14:solidFill>
              <w14:schemeClr w14:val="tx1"/>
            </w14:solidFill>
          </w14:textFill>
        </w:rPr>
        <w:t>朗泰雷检</w:t>
      </w:r>
      <w:r>
        <w:rPr>
          <w:rFonts w:hint="eastAsia" w:ascii="宋体" w:hAnsi="宋体" w:eastAsia="宋体" w:cs="宋体"/>
          <w:color w:val="000000" w:themeColor="text1"/>
          <w:sz w:val="28"/>
          <w14:textFill>
            <w14:solidFill>
              <w14:schemeClr w14:val="tx1"/>
            </w14:solidFill>
          </w14:textFill>
        </w:rPr>
        <w:t>[202</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14:textFill>
            <w14:solidFill>
              <w14:schemeClr w14:val="tx1"/>
            </w14:solidFill>
          </w14:textFill>
        </w:rPr>
        <w:t>]</w:t>
      </w:r>
      <w:r>
        <w:rPr>
          <w:rFonts w:hint="eastAsia" w:ascii="宋体" w:hAnsi="宋体" w:eastAsia="宋体" w:cs="宋体"/>
          <w:color w:val="000000" w:themeColor="text1"/>
          <w:sz w:val="28"/>
          <w:lang w:val="en-US" w:eastAsia="zh-CN"/>
          <w14:textFill>
            <w14:solidFill>
              <w14:schemeClr w14:val="tx1"/>
            </w14:solidFill>
          </w14:textFill>
        </w:rPr>
        <w:t>CX</w:t>
      </w:r>
      <w:r>
        <w:rPr>
          <w:rFonts w:hint="eastAsia" w:ascii="宋体" w:hAnsi="宋体" w:eastAsia="宋体" w:cs="宋体"/>
          <w:color w:val="000000" w:themeColor="text1"/>
          <w:sz w:val="28"/>
          <w14:textFill>
            <w14:solidFill>
              <w14:schemeClr w14:val="tx1"/>
            </w14:solidFill>
          </w14:textFill>
        </w:rPr>
        <w:t>第</w:t>
      </w:r>
      <w:r>
        <w:rPr>
          <w:rFonts w:hint="eastAsia" w:ascii="宋体" w:hAnsi="宋体" w:eastAsia="宋体" w:cs="宋体"/>
          <w:color w:val="000000" w:themeColor="text1"/>
          <w:sz w:val="28"/>
          <w:lang w:val="en-US" w:eastAsia="zh-CN"/>
          <w14:textFill>
            <w14:solidFill>
              <w14:schemeClr w14:val="tx1"/>
            </w14:solidFill>
          </w14:textFill>
        </w:rPr>
        <w:t>1132</w:t>
      </w:r>
      <w:r>
        <w:rPr>
          <w:rFonts w:hint="eastAsia" w:ascii="宋体" w:hAnsi="宋体" w:eastAsia="宋体" w:cs="宋体"/>
          <w:color w:val="000000" w:themeColor="text1"/>
          <w:sz w:val="28"/>
          <w14:textFill>
            <w14:solidFill>
              <w14:schemeClr w14:val="tx1"/>
            </w14:solidFill>
          </w14:textFill>
        </w:rPr>
        <w:t>号。有效期至：202</w:t>
      </w:r>
      <w:r>
        <w:rPr>
          <w:rFonts w:hint="eastAsia" w:ascii="宋体" w:hAnsi="宋体" w:eastAsia="宋体" w:cs="宋体"/>
          <w:color w:val="000000" w:themeColor="text1"/>
          <w:sz w:val="28"/>
          <w:lang w:val="en-US" w:eastAsia="zh-CN"/>
          <w14:textFill>
            <w14:solidFill>
              <w14:schemeClr w14:val="tx1"/>
            </w14:solidFill>
          </w14:textFill>
        </w:rPr>
        <w:t>5</w:t>
      </w:r>
      <w:r>
        <w:rPr>
          <w:rFonts w:hint="eastAsia" w:ascii="宋体" w:hAnsi="宋体" w:eastAsia="宋体" w:cs="宋体"/>
          <w:color w:val="000000" w:themeColor="text1"/>
          <w:sz w:val="28"/>
          <w14:textFill>
            <w14:solidFill>
              <w14:schemeClr w14:val="tx1"/>
            </w14:solidFill>
          </w14:textFill>
        </w:rPr>
        <w:t>年</w:t>
      </w:r>
      <w:r>
        <w:rPr>
          <w:rFonts w:hint="eastAsia" w:ascii="宋体" w:hAnsi="宋体" w:eastAsia="宋体" w:cs="宋体"/>
          <w:color w:val="000000" w:themeColor="text1"/>
          <w:sz w:val="28"/>
          <w:lang w:val="en-US" w:eastAsia="zh-CN"/>
          <w14:textFill>
            <w14:solidFill>
              <w14:schemeClr w14:val="tx1"/>
            </w14:solidFill>
          </w14:textFill>
        </w:rPr>
        <w:t>9</w:t>
      </w:r>
      <w:r>
        <w:rPr>
          <w:rFonts w:hint="eastAsia" w:ascii="宋体" w:hAnsi="宋体" w:eastAsia="宋体" w:cs="宋体"/>
          <w:color w:val="000000" w:themeColor="text1"/>
          <w:sz w:val="28"/>
          <w14:textFill>
            <w14:solidFill>
              <w14:schemeClr w14:val="tx1"/>
            </w14:solidFill>
          </w14:textFill>
        </w:rPr>
        <w:t>月</w:t>
      </w:r>
      <w:r>
        <w:rPr>
          <w:rFonts w:hint="eastAsia" w:ascii="宋体" w:hAnsi="宋体" w:eastAsia="宋体" w:cs="宋体"/>
          <w:color w:val="000000" w:themeColor="text1"/>
          <w:sz w:val="28"/>
          <w:lang w:val="en-US" w:eastAsia="zh-CN"/>
          <w14:textFill>
            <w14:solidFill>
              <w14:schemeClr w14:val="tx1"/>
            </w14:solidFill>
          </w14:textFill>
        </w:rPr>
        <w:t>23</w:t>
      </w:r>
      <w:r>
        <w:rPr>
          <w:rFonts w:hint="eastAsia" w:ascii="宋体" w:hAnsi="宋体" w:eastAsia="宋体" w:cs="宋体"/>
          <w:color w:val="000000" w:themeColor="text1"/>
          <w:sz w:val="28"/>
          <w14:textFill>
            <w14:solidFill>
              <w14:schemeClr w14:val="tx1"/>
            </w14:solidFill>
          </w14:textFill>
        </w:rPr>
        <w:t>日，防雷检测报告见附件。</w:t>
      </w:r>
    </w:p>
    <w:p w14:paraId="354A6C25">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207" w:name="_Toc26245"/>
      <w:bookmarkStart w:id="208" w:name="_Toc8148"/>
      <w:bookmarkStart w:id="209" w:name="_Toc17830"/>
      <w:r>
        <w:rPr>
          <w:rFonts w:hint="default" w:ascii="Times New Roman" w:hAnsi="Times New Roman" w:eastAsia="黑体" w:cs="Times New Roman"/>
          <w:color w:val="000000" w:themeColor="text1"/>
          <w14:textFill>
            <w14:solidFill>
              <w14:schemeClr w14:val="tx1"/>
            </w14:solidFill>
          </w14:textFill>
        </w:rPr>
        <w:t>2.5.4</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消防</w:t>
      </w:r>
      <w:bookmarkEnd w:id="195"/>
      <w:bookmarkEnd w:id="196"/>
      <w:bookmarkEnd w:id="207"/>
      <w:bookmarkEnd w:id="208"/>
      <w:bookmarkEnd w:id="209"/>
    </w:p>
    <w:p w14:paraId="775B24F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color w:val="000000" w:themeColor="text1"/>
          <w:sz w:val="28"/>
          <w:szCs w:val="28"/>
          <w:lang w:val="en-US" w:eastAsia="zh-CN"/>
          <w14:textFill>
            <w14:solidFill>
              <w14:schemeClr w14:val="tx1"/>
            </w14:solidFill>
          </w14:textFill>
        </w:rPr>
        <w:t>该公司按照相关要求，已在办公</w:t>
      </w:r>
      <w:r>
        <w:rPr>
          <w:rFonts w:hint="eastAsia" w:ascii="Times New Roman" w:cs="Times New Roman"/>
          <w:color w:val="000000" w:themeColor="text1"/>
          <w:sz w:val="28"/>
          <w:szCs w:val="28"/>
          <w:lang w:val="en-US" w:eastAsia="zh-CN"/>
          <w14:textFill>
            <w14:solidFill>
              <w14:schemeClr w14:val="tx1"/>
            </w14:solidFill>
          </w14:textFill>
        </w:rPr>
        <w:t>区</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、生产区、</w:t>
      </w:r>
      <w:r>
        <w:rPr>
          <w:rFonts w:hint="eastAsia" w:ascii="Times New Roman" w:cs="Times New Roman"/>
          <w:color w:val="000000" w:themeColor="text1"/>
          <w:sz w:val="28"/>
          <w:szCs w:val="28"/>
          <w:lang w:val="en-US" w:eastAsia="zh-CN"/>
          <w14:textFill>
            <w14:solidFill>
              <w14:schemeClr w14:val="tx1"/>
            </w14:solidFill>
          </w14:textFill>
        </w:rPr>
        <w:t>控制</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室</w:t>
      </w:r>
      <w:r>
        <w:rPr>
          <w:rFonts w:hint="eastAsia" w:ascii="Times New Roman" w:cs="Times New Roman"/>
          <w:color w:val="000000" w:themeColor="text1"/>
          <w:sz w:val="28"/>
          <w:szCs w:val="28"/>
          <w:lang w:val="en-US" w:eastAsia="zh-CN"/>
          <w14:textFill>
            <w14:solidFill>
              <w14:schemeClr w14:val="tx1"/>
            </w14:solidFill>
          </w14:textFill>
        </w:rPr>
        <w:t>、配电柜旁</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等位置，设置了手提式干粉灭火器，防止建筑物及电气火灾。主要消防设置见表2-</w:t>
      </w:r>
      <w:r>
        <w:rPr>
          <w:rFonts w:hint="eastAsia" w:asci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w:t>
      </w:r>
    </w:p>
    <w:p w14:paraId="7F014B2D">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表2-</w:t>
      </w:r>
      <w:r>
        <w:rPr>
          <w:rFonts w:hint="eastAsia" w:ascii="宋体" w:hAnsi="宋体" w:eastAsia="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14:textFill>
            <w14:solidFill>
              <w14:schemeClr w14:val="tx1"/>
            </w14:solidFill>
          </w14:textFill>
        </w:rPr>
        <w:t>主要消防设施一览表</w:t>
      </w: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5"/>
        <w:gridCol w:w="2166"/>
        <w:gridCol w:w="2841"/>
      </w:tblGrid>
      <w:tr w14:paraId="31DCF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99" w:type="dxa"/>
            <w:vAlign w:val="center"/>
          </w:tcPr>
          <w:p w14:paraId="3062D5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设备名称</w:t>
            </w:r>
          </w:p>
        </w:tc>
        <w:tc>
          <w:tcPr>
            <w:tcW w:w="2214" w:type="dxa"/>
            <w:vAlign w:val="center"/>
          </w:tcPr>
          <w:p w14:paraId="10B5DA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设备数量</w:t>
            </w:r>
          </w:p>
        </w:tc>
        <w:tc>
          <w:tcPr>
            <w:tcW w:w="2907" w:type="dxa"/>
            <w:vAlign w:val="center"/>
          </w:tcPr>
          <w:p w14:paraId="6FD73C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设置位置</w:t>
            </w:r>
          </w:p>
        </w:tc>
      </w:tr>
      <w:tr w14:paraId="674A5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99" w:type="dxa"/>
            <w:vAlign w:val="center"/>
          </w:tcPr>
          <w:p w14:paraId="1E038E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214" w:type="dxa"/>
            <w:vAlign w:val="center"/>
          </w:tcPr>
          <w:p w14:paraId="1AA1C9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4具</w:t>
            </w:r>
          </w:p>
        </w:tc>
        <w:tc>
          <w:tcPr>
            <w:tcW w:w="2907" w:type="dxa"/>
            <w:vAlign w:val="center"/>
          </w:tcPr>
          <w:p w14:paraId="45F9C9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办公区</w:t>
            </w:r>
          </w:p>
        </w:tc>
      </w:tr>
      <w:tr w14:paraId="4A60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99" w:type="dxa"/>
            <w:vAlign w:val="center"/>
          </w:tcPr>
          <w:p w14:paraId="2F6612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214" w:type="dxa"/>
            <w:vAlign w:val="center"/>
          </w:tcPr>
          <w:p w14:paraId="4FB3C7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2具</w:t>
            </w:r>
          </w:p>
        </w:tc>
        <w:tc>
          <w:tcPr>
            <w:tcW w:w="2907" w:type="dxa"/>
            <w:vAlign w:val="center"/>
          </w:tcPr>
          <w:p w14:paraId="16496A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控制室</w:t>
            </w:r>
          </w:p>
        </w:tc>
      </w:tr>
      <w:tr w14:paraId="00DDE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99" w:type="dxa"/>
            <w:vAlign w:val="center"/>
          </w:tcPr>
          <w:p w14:paraId="5AA513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214" w:type="dxa"/>
            <w:vAlign w:val="center"/>
          </w:tcPr>
          <w:p w14:paraId="170ACB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2具</w:t>
            </w:r>
          </w:p>
        </w:tc>
        <w:tc>
          <w:tcPr>
            <w:tcW w:w="2907" w:type="dxa"/>
            <w:vAlign w:val="center"/>
          </w:tcPr>
          <w:p w14:paraId="08A08E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柴油存放间</w:t>
            </w:r>
          </w:p>
        </w:tc>
      </w:tr>
      <w:tr w14:paraId="4810B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99" w:type="dxa"/>
            <w:vAlign w:val="center"/>
          </w:tcPr>
          <w:p w14:paraId="7D3BF0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214" w:type="dxa"/>
            <w:vAlign w:val="center"/>
          </w:tcPr>
          <w:p w14:paraId="1E2A77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0</w:t>
            </w:r>
            <w:r>
              <w:rPr>
                <w:rFonts w:hint="eastAsia" w:ascii="宋体" w:hAnsi="宋体" w:eastAsia="宋体" w:cs="宋体"/>
                <w:color w:val="000000" w:themeColor="text1"/>
                <w:sz w:val="21"/>
                <w:szCs w:val="21"/>
                <w14:textFill>
                  <w14:solidFill>
                    <w14:schemeClr w14:val="tx1"/>
                  </w14:solidFill>
                </w14:textFill>
              </w:rPr>
              <w:t>具</w:t>
            </w:r>
          </w:p>
        </w:tc>
        <w:tc>
          <w:tcPr>
            <w:tcW w:w="2907" w:type="dxa"/>
            <w:vAlign w:val="center"/>
          </w:tcPr>
          <w:p w14:paraId="300DB6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生产区</w:t>
            </w:r>
          </w:p>
        </w:tc>
      </w:tr>
    </w:tbl>
    <w:p w14:paraId="6492AD47">
      <w:pPr>
        <w:pStyle w:val="22"/>
        <w:rPr>
          <w:rFonts w:hint="eastAsia"/>
          <w:color w:val="000000" w:themeColor="text1"/>
          <w:lang w:val="en-US" w:eastAsia="zh-CN"/>
          <w14:textFill>
            <w14:solidFill>
              <w14:schemeClr w14:val="tx1"/>
            </w14:solidFill>
          </w14:textFill>
        </w:rPr>
      </w:pPr>
    </w:p>
    <w:p w14:paraId="596C370C">
      <w:pPr>
        <w:pStyle w:val="5"/>
        <w:keepNext/>
        <w:keepLines/>
        <w:pageBreakBefore w:val="0"/>
        <w:widowControl w:val="0"/>
        <w:kinsoku/>
        <w:wordWrap/>
        <w:overflowPunct/>
        <w:topLinePunct w:val="0"/>
        <w:autoSpaceDE/>
        <w:autoSpaceDN/>
        <w:bidi w:val="0"/>
        <w:adjustRightInd/>
        <w:snapToGrid w:val="0"/>
        <w:jc w:val="both"/>
        <w:textAlignment w:val="auto"/>
        <w:rPr>
          <w:rFonts w:hint="eastAsia" w:hAnsi="宋体" w:cs="宋体"/>
          <w:color w:val="000000" w:themeColor="text1"/>
          <w:sz w:val="28"/>
          <w:szCs w:val="28"/>
          <w:lang w:val="en-US" w:eastAsia="zh-CN"/>
          <w14:textFill>
            <w14:solidFill>
              <w14:schemeClr w14:val="tx1"/>
            </w14:solidFill>
          </w14:textFill>
        </w:rPr>
      </w:pPr>
      <w:bookmarkStart w:id="210" w:name="_Toc30112"/>
      <w:bookmarkStart w:id="211" w:name="_Toc11646"/>
      <w:bookmarkStart w:id="212" w:name="_Toc8335"/>
      <w:r>
        <w:rPr>
          <w:rFonts w:hint="eastAsia" w:ascii="Times New Roman" w:hAnsi="Times New Roman" w:cs="Times New Roman"/>
          <w:color w:val="000000" w:themeColor="text1"/>
          <w:lang w:val="en-US" w:eastAsia="zh-CN"/>
          <w14:textFill>
            <w14:solidFill>
              <w14:schemeClr w14:val="tx1"/>
            </w14:solidFill>
          </w14:textFill>
        </w:rPr>
        <w:t>2.5.5</w:t>
      </w:r>
      <w:r>
        <w:rPr>
          <w:rFonts w:hint="eastAsia" w:ascii="Times New Roman" w:hAnsi="Times New Roman" w:eastAsia="黑体" w:cs="Times New Roman"/>
          <w:color w:val="000000" w:themeColor="text1"/>
          <w:lang w:val="en-US" w:eastAsia="zh-CN"/>
          <w14:textFill>
            <w14:solidFill>
              <w14:schemeClr w14:val="tx1"/>
            </w14:solidFill>
          </w14:textFill>
        </w:rPr>
        <w:t>供气情况</w:t>
      </w:r>
      <w:bookmarkEnd w:id="210"/>
    </w:p>
    <w:p w14:paraId="41B626B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hAnsi="宋体" w:cs="宋体"/>
          <w:color w:val="000000" w:themeColor="text1"/>
          <w:sz w:val="28"/>
          <w:szCs w:val="28"/>
          <w:lang w:val="en-US" w:eastAsia="zh-CN"/>
          <w14:textFill>
            <w14:solidFill>
              <w14:schemeClr w14:val="tx1"/>
            </w14:solidFill>
          </w14:textFill>
        </w:rPr>
      </w:pPr>
      <w:r>
        <w:rPr>
          <w:rFonts w:hint="eastAsia" w:hAnsi="宋体" w:cs="宋体"/>
          <w:color w:val="000000" w:themeColor="text1"/>
          <w:sz w:val="28"/>
          <w:szCs w:val="28"/>
          <w:lang w:val="en-US" w:eastAsia="zh-CN"/>
          <w14:textFill>
            <w14:solidFill>
              <w14:schemeClr w14:val="tx1"/>
            </w14:solidFill>
          </w14:textFill>
        </w:rPr>
        <w:t>通过使用电力，将气体压缩后储存于储气罐中，然后通过管道输送到各个设备，驱动设备运转。</w:t>
      </w:r>
    </w:p>
    <w:bookmarkEnd w:id="211"/>
    <w:p w14:paraId="0D455012">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213" w:name="_Toc29480"/>
      <w:bookmarkStart w:id="214" w:name="_Toc306"/>
      <w:r>
        <w:rPr>
          <w:rFonts w:hint="default" w:ascii="Times New Roman" w:hAnsi="Times New Roman" w:eastAsia="黑体" w:cs="Times New Roman"/>
          <w:color w:val="000000" w:themeColor="text1"/>
          <w14:textFill>
            <w14:solidFill>
              <w14:schemeClr w14:val="tx1"/>
            </w14:solidFill>
          </w14:textFill>
        </w:rPr>
        <w:t>2.5.</w:t>
      </w:r>
      <w:r>
        <w:rPr>
          <w:rFonts w:hint="eastAsia" w:ascii="Times New Roman" w:hAnsi="Times New Roman" w:cs="Times New Roman"/>
          <w:color w:val="000000" w:themeColor="text1"/>
          <w:lang w:val="en-US" w:eastAsia="zh-CN"/>
          <w14:textFill>
            <w14:solidFill>
              <w14:schemeClr w14:val="tx1"/>
            </w14:solidFill>
          </w14:textFill>
        </w:rPr>
        <w:t xml:space="preserve">6 </w:t>
      </w:r>
      <w:r>
        <w:rPr>
          <w:rFonts w:hint="default" w:ascii="Times New Roman" w:hAnsi="Times New Roman" w:eastAsia="黑体" w:cs="Times New Roman"/>
          <w:color w:val="000000" w:themeColor="text1"/>
          <w:lang w:val="en-US" w:eastAsia="zh-CN"/>
          <w14:textFill>
            <w14:solidFill>
              <w14:schemeClr w14:val="tx1"/>
            </w14:solidFill>
          </w14:textFill>
        </w:rPr>
        <w:t>有限空间</w:t>
      </w:r>
      <w:bookmarkEnd w:id="213"/>
    </w:p>
    <w:p w14:paraId="7F10EFB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hAnsi="宋体" w:cs="宋体"/>
          <w:color w:val="000000" w:themeColor="text1"/>
          <w:sz w:val="28"/>
          <w:szCs w:val="28"/>
          <w:lang w:val="en-US" w:eastAsia="zh-CN"/>
          <w14:textFill>
            <w14:solidFill>
              <w14:schemeClr w14:val="tx1"/>
            </w14:solidFill>
          </w14:textFill>
        </w:rPr>
      </w:pPr>
      <w:r>
        <w:rPr>
          <w:rFonts w:hint="eastAsia" w:hAnsi="宋体" w:cs="宋体"/>
          <w:color w:val="000000" w:themeColor="text1"/>
          <w:sz w:val="28"/>
          <w:szCs w:val="28"/>
          <w:lang w:val="en-US" w:eastAsia="zh-CN"/>
          <w14:textFill>
            <w14:solidFill>
              <w14:schemeClr w14:val="tx1"/>
            </w14:solidFill>
          </w14:textFill>
        </w:rPr>
        <w:t>企业对有限空间进行了辨识（脱硫塔、污水处理池、隧道窑、化粪池），建立了有限空间管理台账，现场设置了告知卡，并在有限空间进出口处设置了安全警示标志。</w:t>
      </w:r>
    </w:p>
    <w:p w14:paraId="4FD2AD81">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215" w:name="_Toc26640"/>
      <w:r>
        <w:rPr>
          <w:rFonts w:hint="default" w:ascii="Times New Roman" w:hAnsi="Times New Roman" w:eastAsia="黑体" w:cs="Times New Roman"/>
          <w:color w:val="000000" w:themeColor="text1"/>
          <w14:textFill>
            <w14:solidFill>
              <w14:schemeClr w14:val="tx1"/>
            </w14:solidFill>
          </w14:textFill>
        </w:rPr>
        <w:t>2.5.</w:t>
      </w:r>
      <w:bookmarkEnd w:id="212"/>
      <w:r>
        <w:rPr>
          <w:rFonts w:hint="eastAsia" w:ascii="Times New Roman" w:hAnsi="Times New Roman" w:cs="Times New Roman"/>
          <w:color w:val="000000" w:themeColor="text1"/>
          <w:lang w:val="en-US" w:eastAsia="zh-CN"/>
          <w14:textFill>
            <w14:solidFill>
              <w14:schemeClr w14:val="tx1"/>
            </w14:solidFill>
          </w14:textFill>
        </w:rPr>
        <w:t xml:space="preserve">7 </w:t>
      </w:r>
      <w:r>
        <w:rPr>
          <w:rFonts w:hint="default" w:ascii="Times New Roman" w:hAnsi="Times New Roman" w:eastAsia="黑体" w:cs="Times New Roman"/>
          <w:color w:val="000000" w:themeColor="text1"/>
          <w14:textFill>
            <w14:solidFill>
              <w14:schemeClr w14:val="tx1"/>
            </w14:solidFill>
          </w14:textFill>
        </w:rPr>
        <w:t>其他</w:t>
      </w:r>
      <w:bookmarkEnd w:id="214"/>
      <w:bookmarkEnd w:id="215"/>
    </w:p>
    <w:p w14:paraId="386358E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cs="Times New Roman"/>
          <w:b/>
          <w:bCs/>
          <w:color w:val="000000" w:themeColor="text1"/>
          <w:sz w:val="28"/>
          <w:szCs w:val="28"/>
          <w14:textFill>
            <w14:solidFill>
              <w14:schemeClr w14:val="tx1"/>
            </w14:solidFill>
          </w14:textFill>
        </w:rPr>
      </w:pPr>
      <w:r>
        <w:rPr>
          <w:rFonts w:hint="default" w:ascii="Times New Roman" w:hAnsi="Times New Roman" w:cs="Times New Roman"/>
          <w:b/>
          <w:bCs/>
          <w:color w:val="000000" w:themeColor="text1"/>
          <w:sz w:val="28"/>
          <w:szCs w:val="28"/>
          <w:lang w:val="en-US" w:eastAsia="zh-CN"/>
          <w14:textFill>
            <w14:solidFill>
              <w14:schemeClr w14:val="tx1"/>
            </w14:solidFill>
          </w14:textFill>
        </w:rPr>
        <w:t>1</w:t>
      </w:r>
      <w:r>
        <w:rPr>
          <w:rFonts w:hint="default" w:ascii="Times New Roman" w:hAnsi="Times New Roman" w:cs="Times New Roman"/>
          <w:b/>
          <w:bCs/>
          <w:color w:val="000000" w:themeColor="text1"/>
          <w:sz w:val="28"/>
          <w:szCs w:val="28"/>
          <w14:textFill>
            <w14:solidFill>
              <w14:schemeClr w14:val="tx1"/>
            </w14:solidFill>
          </w14:textFill>
        </w:rPr>
        <w:t>.气瓶储存</w:t>
      </w:r>
    </w:p>
    <w:p w14:paraId="0DDE404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该企业主要使用的气瓶为检修</w:t>
      </w:r>
      <w:r>
        <w:rPr>
          <w:rFonts w:hint="default" w:ascii="Times New Roman" w:hAnsi="Times New Roman" w:cs="Times New Roman"/>
          <w:color w:val="000000" w:themeColor="text1"/>
          <w:sz w:val="28"/>
          <w:szCs w:val="28"/>
          <w:lang w:eastAsia="zh-CN"/>
          <w14:textFill>
            <w14:solidFill>
              <w14:schemeClr w14:val="tx1"/>
            </w14:solidFill>
          </w14:textFill>
        </w:rPr>
        <w:t>焊接时使</w:t>
      </w:r>
      <w:r>
        <w:rPr>
          <w:rFonts w:hint="default" w:ascii="Times New Roman" w:hAnsi="Times New Roman" w:cs="Times New Roman"/>
          <w:color w:val="000000" w:themeColor="text1"/>
          <w:sz w:val="28"/>
          <w:szCs w:val="28"/>
          <w14:textFill>
            <w14:solidFill>
              <w14:schemeClr w14:val="tx1"/>
            </w14:solidFill>
          </w14:textFill>
        </w:rPr>
        <w:t>用的乙炔、氧气气瓶，</w:t>
      </w:r>
      <w:r>
        <w:rPr>
          <w:rFonts w:hint="default" w:ascii="Times New Roman" w:hAnsi="Times New Roman" w:cs="Times New Roman"/>
          <w:color w:val="000000" w:themeColor="text1"/>
          <w:sz w:val="28"/>
          <w:szCs w:val="28"/>
          <w:lang w:eastAsia="zh-CN"/>
          <w14:textFill>
            <w14:solidFill>
              <w14:schemeClr w14:val="tx1"/>
            </w14:solidFill>
          </w14:textFill>
        </w:rPr>
        <w:t>平时用量很少，</w:t>
      </w:r>
      <w:r>
        <w:rPr>
          <w:rFonts w:hint="default" w:ascii="Times New Roman" w:hAnsi="Times New Roman" w:cs="Times New Roman"/>
          <w:color w:val="000000" w:themeColor="text1"/>
          <w:sz w:val="28"/>
          <w:szCs w:val="28"/>
          <w14:textFill>
            <w14:solidFill>
              <w14:schemeClr w14:val="tx1"/>
            </w14:solidFill>
          </w14:textFill>
        </w:rPr>
        <w:t>氧气瓶</w:t>
      </w:r>
      <w:r>
        <w:rPr>
          <w:rFonts w:hint="eastAsia" w:ascii="Times New Roman" w:cs="Times New Roman"/>
          <w:color w:val="000000" w:themeColor="text1"/>
          <w:sz w:val="28"/>
          <w:szCs w:val="28"/>
          <w:lang w:eastAsia="zh-CN"/>
          <w14:textFill>
            <w14:solidFill>
              <w14:schemeClr w14:val="tx1"/>
            </w14:solidFill>
          </w14:textFill>
        </w:rPr>
        <w:t>一般</w:t>
      </w:r>
      <w:r>
        <w:rPr>
          <w:rFonts w:hint="default" w:ascii="Times New Roman" w:hAnsi="Times New Roman" w:cs="Times New Roman"/>
          <w:color w:val="000000" w:themeColor="text1"/>
          <w:sz w:val="28"/>
          <w:szCs w:val="28"/>
          <w14:textFill>
            <w14:solidFill>
              <w14:schemeClr w14:val="tx1"/>
            </w14:solidFill>
          </w14:textFill>
        </w:rPr>
        <w:t>存</w:t>
      </w:r>
      <w:r>
        <w:rPr>
          <w:rFonts w:hint="default" w:ascii="Times New Roman" w:hAnsi="Times New Roman" w:cs="Times New Roman"/>
          <w:color w:val="000000" w:themeColor="text1"/>
          <w:sz w:val="28"/>
          <w:szCs w:val="28"/>
          <w:lang w:eastAsia="zh-CN"/>
          <w14:textFill>
            <w14:solidFill>
              <w14:schemeClr w14:val="tx1"/>
            </w14:solidFill>
          </w14:textFill>
        </w:rPr>
        <w:t>放</w:t>
      </w:r>
      <w:r>
        <w:rPr>
          <w:rFonts w:hint="eastAsia" w:asci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瓶，每瓶大约40L，</w:t>
      </w:r>
      <w:r>
        <w:rPr>
          <w:rFonts w:hint="default" w:ascii="Times New Roman" w:hAnsi="Times New Roman" w:cs="Times New Roman"/>
          <w:color w:val="000000" w:themeColor="text1"/>
          <w:sz w:val="28"/>
          <w:szCs w:val="28"/>
          <w:lang w:eastAsia="zh-CN"/>
          <w14:textFill>
            <w14:solidFill>
              <w14:schemeClr w14:val="tx1"/>
            </w14:solidFill>
          </w14:textFill>
        </w:rPr>
        <w:t>乙炔一般存放</w:t>
      </w:r>
      <w:r>
        <w:rPr>
          <w:rFonts w:hint="eastAsia" w:asci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瓶，每瓶大约</w:t>
      </w:r>
      <w:r>
        <w:rPr>
          <w:rFonts w:hint="default" w:ascii="Times New Roman" w:hAnsi="Times New Roman" w:cs="Times New Roman"/>
          <w:color w:val="000000" w:themeColor="text1"/>
          <w:sz w:val="28"/>
          <w:szCs w:val="28"/>
          <w:lang w:val="en-US" w:eastAsia="zh-CN"/>
          <w14:textFill>
            <w14:solidFill>
              <w14:schemeClr w14:val="tx1"/>
            </w14:solidFill>
          </w14:textFill>
        </w:rPr>
        <w:t>40</w:t>
      </w:r>
      <w:r>
        <w:rPr>
          <w:rFonts w:hint="default" w:ascii="Times New Roman" w:hAnsi="Times New Roman" w:cs="Times New Roman"/>
          <w:color w:val="000000" w:themeColor="text1"/>
          <w:sz w:val="28"/>
          <w:szCs w:val="28"/>
          <w14:textFill>
            <w14:solidFill>
              <w14:schemeClr w14:val="tx1"/>
            </w14:solidFill>
          </w14:textFill>
        </w:rPr>
        <w:t>L，</w:t>
      </w:r>
      <w:r>
        <w:rPr>
          <w:rFonts w:hint="default" w:ascii="Times New Roman" w:hAnsi="Times New Roman" w:cs="Times New Roman"/>
          <w:color w:val="000000" w:themeColor="text1"/>
          <w:sz w:val="28"/>
          <w:szCs w:val="28"/>
          <w:lang w:val="en-US" w:eastAsia="zh-CN"/>
          <w14:textFill>
            <w14:solidFill>
              <w14:schemeClr w14:val="tx1"/>
            </w14:solidFill>
          </w14:textFill>
        </w:rPr>
        <w:t>满足日常正常使用</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空瓶</w:t>
      </w:r>
      <w:r>
        <w:rPr>
          <w:rFonts w:hint="default" w:ascii="Times New Roman" w:hAnsi="Times New Roman" w:cs="Times New Roman"/>
          <w:color w:val="000000" w:themeColor="text1"/>
          <w:sz w:val="28"/>
          <w:szCs w:val="28"/>
          <w:lang w:eastAsia="zh-CN"/>
          <w14:textFill>
            <w14:solidFill>
              <w14:schemeClr w14:val="tx1"/>
            </w14:solidFill>
          </w14:textFill>
        </w:rPr>
        <w:t>与实瓶分开存放在阴凉的地方并设置防倾倒措施</w:t>
      </w:r>
      <w:r>
        <w:rPr>
          <w:rFonts w:hint="default" w:ascii="Times New Roman" w:hAnsi="Times New Roman" w:cs="Times New Roman"/>
          <w:color w:val="000000" w:themeColor="text1"/>
          <w:sz w:val="28"/>
          <w:szCs w:val="28"/>
          <w14:textFill>
            <w14:solidFill>
              <w14:schemeClr w14:val="tx1"/>
            </w14:solidFill>
          </w14:textFill>
        </w:rPr>
        <w:t>。</w:t>
      </w:r>
    </w:p>
    <w:p w14:paraId="22E6DB6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hAnsi="宋体" w:cs="宋体"/>
          <w:color w:val="000000" w:themeColor="text1"/>
          <w:sz w:val="28"/>
          <w:szCs w:val="28"/>
          <w:lang w:val="en-US" w:eastAsia="zh-CN"/>
          <w14:textFill>
            <w14:solidFill>
              <w14:schemeClr w14:val="tx1"/>
            </w14:solidFill>
          </w14:textFill>
        </w:rPr>
      </w:pPr>
      <w:r>
        <w:rPr>
          <w:rFonts w:hint="eastAsia" w:hAnsi="宋体" w:cs="宋体"/>
          <w:color w:val="000000" w:themeColor="text1"/>
          <w:sz w:val="28"/>
          <w:szCs w:val="28"/>
          <w:lang w:val="en-US" w:eastAsia="zh-CN"/>
          <w14:textFill>
            <w14:solidFill>
              <w14:schemeClr w14:val="tx1"/>
            </w14:solidFill>
          </w14:textFill>
        </w:rPr>
        <w:t>3.柴油储存</w:t>
      </w:r>
    </w:p>
    <w:p w14:paraId="7BA360E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color w:val="000000" w:themeColor="text1"/>
          <w:lang w:val="en-US" w:eastAsia="zh-CN"/>
          <w14:textFill>
            <w14:solidFill>
              <w14:schemeClr w14:val="tx1"/>
            </w14:solidFill>
          </w14:textFill>
        </w:rPr>
      </w:pPr>
      <w:r>
        <w:rPr>
          <w:rFonts w:hint="eastAsia" w:hAnsi="宋体" w:cs="宋体"/>
          <w:color w:val="000000" w:themeColor="text1"/>
          <w:sz w:val="28"/>
          <w:szCs w:val="28"/>
          <w:lang w:val="en-US" w:eastAsia="zh-CN"/>
          <w14:textFill>
            <w14:solidFill>
              <w14:schemeClr w14:val="tx1"/>
            </w14:solidFill>
          </w14:textFill>
        </w:rPr>
        <w:t>柴油储存方式采用油罐临时性储存，有单独的储存空间，位于厂区北西侧，油罐（30m</w:t>
      </w:r>
      <w:r>
        <w:rPr>
          <w:rFonts w:hint="eastAsia" w:hAnsi="宋体" w:cs="宋体"/>
          <w:color w:val="000000" w:themeColor="text1"/>
          <w:sz w:val="28"/>
          <w:szCs w:val="28"/>
          <w:vertAlign w:val="superscript"/>
          <w:lang w:val="en-US" w:eastAsia="zh-CN"/>
          <w14:textFill>
            <w14:solidFill>
              <w14:schemeClr w14:val="tx1"/>
            </w14:solidFill>
          </w14:textFill>
        </w:rPr>
        <w:t>3</w:t>
      </w:r>
      <w:r>
        <w:rPr>
          <w:rFonts w:hint="eastAsia" w:hAnsi="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pacing w:val="-6"/>
          <w:sz w:val="28"/>
          <w:szCs w:val="28"/>
          <w:lang w:val="en-US" w:eastAsia="zh-CN"/>
          <w14:textFill>
            <w14:solidFill>
              <w14:schemeClr w14:val="tx1"/>
            </w14:solidFill>
          </w14:textFill>
        </w:rPr>
        <w:t>旁</w:t>
      </w:r>
      <w:r>
        <w:rPr>
          <w:rFonts w:ascii="宋体" w:hAnsi="宋体" w:eastAsia="宋体" w:cs="宋体"/>
          <w:color w:val="000000" w:themeColor="text1"/>
          <w:spacing w:val="-6"/>
          <w:sz w:val="28"/>
          <w:szCs w:val="28"/>
          <w14:textFill>
            <w14:solidFill>
              <w14:schemeClr w14:val="tx1"/>
            </w14:solidFill>
          </w14:textFill>
        </w:rPr>
        <w:t>设置了人体静电释放柱</w:t>
      </w:r>
      <w:r>
        <w:rPr>
          <w:rFonts w:hint="eastAsia" w:ascii="宋体" w:hAnsi="宋体" w:eastAsia="宋体" w:cs="宋体"/>
          <w:color w:val="000000" w:themeColor="text1"/>
          <w:spacing w:val="-6"/>
          <w:sz w:val="28"/>
          <w:szCs w:val="28"/>
          <w:lang w:eastAsia="zh-CN"/>
          <w14:textFill>
            <w14:solidFill>
              <w14:schemeClr w14:val="tx1"/>
            </w14:solidFill>
          </w14:textFill>
        </w:rPr>
        <w:t>、</w:t>
      </w:r>
      <w:r>
        <w:rPr>
          <w:rFonts w:hint="eastAsia" w:hAnsi="宋体" w:cs="宋体"/>
          <w:color w:val="000000" w:themeColor="text1"/>
          <w:sz w:val="28"/>
          <w:szCs w:val="28"/>
          <w:lang w:val="en-US" w:eastAsia="zh-CN"/>
          <w14:textFill>
            <w14:solidFill>
              <w14:schemeClr w14:val="tx1"/>
            </w14:solidFill>
          </w14:textFill>
        </w:rPr>
        <w:t>消防器材，主要用于挖掘机、装载机、叉车等机械设备。</w:t>
      </w:r>
    </w:p>
    <w:p w14:paraId="78909581">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cs="Times New Roman"/>
          <w:b/>
          <w:bCs/>
          <w:color w:val="000000" w:themeColor="text1"/>
          <w:sz w:val="28"/>
          <w:szCs w:val="28"/>
          <w14:textFill>
            <w14:solidFill>
              <w14:schemeClr w14:val="tx1"/>
            </w14:solidFill>
          </w14:textFill>
        </w:rPr>
      </w:pPr>
      <w:r>
        <w:rPr>
          <w:rFonts w:hint="default" w:ascii="Times New Roman" w:hAnsi="Times New Roman" w:cs="Times New Roman"/>
          <w:b/>
          <w:bCs/>
          <w:color w:val="000000" w:themeColor="text1"/>
          <w:sz w:val="28"/>
          <w:szCs w:val="28"/>
          <w:lang w:val="en-US" w:eastAsia="zh-CN"/>
          <w14:textFill>
            <w14:solidFill>
              <w14:schemeClr w14:val="tx1"/>
            </w14:solidFill>
          </w14:textFill>
        </w:rPr>
        <w:t>2</w:t>
      </w:r>
      <w:r>
        <w:rPr>
          <w:rFonts w:hint="default" w:ascii="Times New Roman" w:hAnsi="Times New Roman" w:cs="Times New Roman"/>
          <w:b/>
          <w:bCs/>
          <w:color w:val="000000" w:themeColor="text1"/>
          <w:sz w:val="28"/>
          <w:szCs w:val="28"/>
          <w14:textFill>
            <w14:solidFill>
              <w14:schemeClr w14:val="tx1"/>
            </w14:solidFill>
          </w14:textFill>
        </w:rPr>
        <w:t>.仓储物流</w:t>
      </w:r>
    </w:p>
    <w:p w14:paraId="3C8E18F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Times New Roman"/>
          <w:color w:val="000000" w:themeColor="text1"/>
          <w:sz w:val="28"/>
          <w:szCs w:val="28"/>
          <w:lang w:val="en-US" w:eastAsia="zh-CN"/>
          <w14:textFill>
            <w14:solidFill>
              <w14:schemeClr w14:val="tx1"/>
            </w14:solidFill>
          </w14:textFill>
        </w:rPr>
        <w:t>项目</w:t>
      </w:r>
      <w:r>
        <w:rPr>
          <w:rFonts w:hint="eastAsia" w:hAnsi="宋体" w:cs="Times New Roman"/>
          <w:color w:val="000000" w:themeColor="text1"/>
          <w:sz w:val="28"/>
          <w:szCs w:val="28"/>
          <w:lang w:val="en-US" w:eastAsia="zh-CN"/>
          <w14:textFill>
            <w14:solidFill>
              <w14:schemeClr w14:val="tx1"/>
            </w14:solidFill>
          </w14:textFill>
        </w:rPr>
        <w:t>仓储</w:t>
      </w:r>
      <w:r>
        <w:rPr>
          <w:rFonts w:hint="eastAsia" w:ascii="宋体" w:hAnsi="宋体" w:eastAsia="宋体" w:cs="Times New Roman"/>
          <w:color w:val="000000" w:themeColor="text1"/>
          <w:sz w:val="28"/>
          <w:szCs w:val="28"/>
          <w:lang w:val="en-US" w:eastAsia="zh-CN"/>
          <w14:textFill>
            <w14:solidFill>
              <w14:schemeClr w14:val="tx1"/>
            </w14:solidFill>
          </w14:textFill>
        </w:rPr>
        <w:t>主要包括原料</w:t>
      </w:r>
      <w:r>
        <w:rPr>
          <w:rFonts w:hint="eastAsia" w:hAnsi="宋体" w:cs="Times New Roman"/>
          <w:color w:val="000000" w:themeColor="text1"/>
          <w:sz w:val="28"/>
          <w:szCs w:val="28"/>
          <w:lang w:val="en-US" w:eastAsia="zh-CN"/>
          <w14:textFill>
            <w14:solidFill>
              <w14:schemeClr w14:val="tx1"/>
            </w14:solidFill>
          </w14:textFill>
        </w:rPr>
        <w:t>堆放区</w:t>
      </w:r>
      <w:r>
        <w:rPr>
          <w:rFonts w:hint="eastAsia" w:ascii="宋体" w:hAnsi="宋体" w:eastAsia="宋体" w:cs="Times New Roman"/>
          <w:color w:val="000000" w:themeColor="text1"/>
          <w:sz w:val="28"/>
          <w:szCs w:val="28"/>
          <w:lang w:val="en-US" w:eastAsia="zh-CN"/>
          <w14:textFill>
            <w14:solidFill>
              <w14:schemeClr w14:val="tx1"/>
            </w14:solidFill>
          </w14:textFill>
        </w:rPr>
        <w:t>、成品</w:t>
      </w:r>
      <w:r>
        <w:rPr>
          <w:rFonts w:hint="eastAsia" w:hAnsi="宋体" w:cs="Times New Roman"/>
          <w:color w:val="000000" w:themeColor="text1"/>
          <w:sz w:val="28"/>
          <w:szCs w:val="28"/>
          <w:lang w:val="en-US" w:eastAsia="zh-CN"/>
          <w14:textFill>
            <w14:solidFill>
              <w14:schemeClr w14:val="tx1"/>
            </w14:solidFill>
          </w14:textFill>
        </w:rPr>
        <w:t>堆放区</w:t>
      </w:r>
      <w:r>
        <w:rPr>
          <w:rFonts w:hint="eastAsia" w:ascii="宋体" w:hAnsi="宋体" w:eastAsia="宋体" w:cs="Times New Roman"/>
          <w:color w:val="000000" w:themeColor="text1"/>
          <w:sz w:val="28"/>
          <w:szCs w:val="28"/>
          <w:lang w:val="en-US" w:eastAsia="zh-CN"/>
          <w14:textFill>
            <w14:solidFill>
              <w14:schemeClr w14:val="tx1"/>
            </w14:solidFill>
          </w14:textFill>
        </w:rPr>
        <w:t>，独立设置。物流运输由厂区大门进入，厂区人员、车辆出入，成品物流运输，有分别的出入口，做到人货区分，方便物料及</w:t>
      </w:r>
      <w:r>
        <w:rPr>
          <w:rFonts w:hint="eastAsia" w:hAnsi="宋体" w:cs="Times New Roman"/>
          <w:color w:val="000000" w:themeColor="text1"/>
          <w:sz w:val="28"/>
          <w:szCs w:val="28"/>
          <w:lang w:val="en-US" w:eastAsia="zh-CN"/>
          <w14:textFill>
            <w14:solidFill>
              <w14:schemeClr w14:val="tx1"/>
            </w14:solidFill>
          </w14:textFill>
        </w:rPr>
        <w:t>成</w:t>
      </w:r>
      <w:r>
        <w:rPr>
          <w:rFonts w:hint="eastAsia" w:ascii="宋体" w:hAnsi="宋体" w:eastAsia="宋体" w:cs="Times New Roman"/>
          <w:color w:val="000000" w:themeColor="text1"/>
          <w:sz w:val="28"/>
          <w:szCs w:val="28"/>
          <w:lang w:val="en-US" w:eastAsia="zh-CN"/>
          <w14:textFill>
            <w14:solidFill>
              <w14:schemeClr w14:val="tx1"/>
            </w14:solidFill>
          </w14:textFill>
        </w:rPr>
        <w:t>品的运输。</w:t>
      </w:r>
    </w:p>
    <w:p w14:paraId="033B51E5">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eastAsia="楷体" w:cs="Times New Roman"/>
          <w:color w:val="000000" w:themeColor="text1"/>
          <w:lang w:eastAsia="zh-CN"/>
          <w14:textFill>
            <w14:solidFill>
              <w14:schemeClr w14:val="tx1"/>
            </w14:solidFill>
          </w14:textFill>
        </w:rPr>
      </w:pPr>
      <w:bookmarkStart w:id="216" w:name="_Toc331"/>
      <w:bookmarkStart w:id="217" w:name="_Toc24238"/>
      <w:r>
        <w:rPr>
          <w:rFonts w:hint="default" w:ascii="Times New Roman" w:hAnsi="Times New Roman" w:eastAsia="楷体" w:cs="Times New Roman"/>
          <w:color w:val="000000" w:themeColor="text1"/>
          <w:lang w:val="en-US"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 xml:space="preserve">6 </w:t>
      </w:r>
      <w:r>
        <w:rPr>
          <w:rFonts w:hint="default" w:ascii="Times New Roman" w:hAnsi="Times New Roman" w:eastAsia="楷体" w:cs="Times New Roman"/>
          <w:color w:val="000000" w:themeColor="text1"/>
          <w14:textFill>
            <w14:solidFill>
              <w14:schemeClr w14:val="tx1"/>
            </w14:solidFill>
          </w14:textFill>
        </w:rPr>
        <w:t>安全</w:t>
      </w:r>
      <w:r>
        <w:rPr>
          <w:rFonts w:hint="eastAsia" w:ascii="Times New Roman" w:hAnsi="Times New Roman" w:cs="Times New Roman"/>
          <w:color w:val="000000" w:themeColor="text1"/>
          <w:lang w:val="en-US" w:eastAsia="zh-CN"/>
          <w14:textFill>
            <w14:solidFill>
              <w14:schemeClr w14:val="tx1"/>
            </w14:solidFill>
          </w14:textFill>
        </w:rPr>
        <w:t>生产</w:t>
      </w:r>
      <w:r>
        <w:rPr>
          <w:rFonts w:hint="default" w:ascii="Times New Roman" w:hAnsi="Times New Roman" w:eastAsia="楷体" w:cs="Times New Roman"/>
          <w:color w:val="000000" w:themeColor="text1"/>
          <w14:textFill>
            <w14:solidFill>
              <w14:schemeClr w14:val="tx1"/>
            </w14:solidFill>
          </w14:textFill>
        </w:rPr>
        <w:t>管理</w:t>
      </w:r>
      <w:bookmarkEnd w:id="216"/>
      <w:r>
        <w:rPr>
          <w:rFonts w:hint="eastAsia" w:ascii="Times New Roman" w:hAnsi="Times New Roman" w:cs="Times New Roman"/>
          <w:color w:val="000000" w:themeColor="text1"/>
          <w:lang w:val="en-US" w:eastAsia="zh-CN"/>
          <w14:textFill>
            <w14:solidFill>
              <w14:schemeClr w14:val="tx1"/>
            </w14:solidFill>
          </w14:textFill>
        </w:rPr>
        <w:t>情况</w:t>
      </w:r>
      <w:bookmarkEnd w:id="217"/>
    </w:p>
    <w:p w14:paraId="1044705C">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218" w:name="_Toc15389"/>
      <w:bookmarkStart w:id="219" w:name="_Toc4430"/>
      <w:bookmarkStart w:id="220" w:name="_Toc13130"/>
      <w:r>
        <w:rPr>
          <w:rFonts w:hint="default" w:ascii="Times New Roman" w:hAnsi="Times New Roman" w:eastAsia="黑体"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eastAsia="黑体"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14:textFill>
            <w14:solidFill>
              <w14:schemeClr w14:val="tx1"/>
            </w14:solidFill>
          </w14:textFill>
        </w:rPr>
        <w:t>工作制度</w:t>
      </w:r>
      <w:bookmarkEnd w:id="218"/>
      <w:bookmarkEnd w:id="219"/>
      <w:r>
        <w:rPr>
          <w:rFonts w:hint="eastAsia" w:ascii="Times New Roman" w:hAnsi="Times New Roman" w:cs="Times New Roman"/>
          <w:color w:val="000000" w:themeColor="text1"/>
          <w:lang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劳动定员</w:t>
      </w:r>
      <w:bookmarkEnd w:id="220"/>
    </w:p>
    <w:p w14:paraId="7F5A5A9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hAnsi="宋体" w:cs="Times New Roman"/>
          <w:color w:val="000000" w:themeColor="text1"/>
          <w:sz w:val="28"/>
          <w:szCs w:val="28"/>
          <w:lang w:val="en-US" w:eastAsia="zh-CN"/>
          <w14:textFill>
            <w14:solidFill>
              <w14:schemeClr w14:val="tx1"/>
            </w14:solidFill>
          </w14:textFill>
        </w:rPr>
      </w:pPr>
      <w:r>
        <w:rPr>
          <w:rFonts w:hint="eastAsia" w:hAnsi="宋体" w:cs="Times New Roman"/>
          <w:color w:val="000000" w:themeColor="text1"/>
          <w:sz w:val="28"/>
          <w:szCs w:val="28"/>
          <w:lang w:val="en-US" w:eastAsia="zh-CN"/>
          <w14:textFill>
            <w14:solidFill>
              <w14:schemeClr w14:val="tx1"/>
            </w14:solidFill>
          </w14:textFill>
        </w:rPr>
        <w:t>该砖厂全年作业天数和休息时间受行业性质的影响，由该砖厂本身的生产负荷和生产环境等因素的影响而决定。除进、出窑岗是三班工作制外，其余岗位均为常白班。</w:t>
      </w:r>
    </w:p>
    <w:p w14:paraId="19E30EA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hAnsi="宋体" w:cs="Times New Roman"/>
          <w:color w:val="000000" w:themeColor="text1"/>
          <w:sz w:val="28"/>
          <w:szCs w:val="28"/>
          <w:lang w:val="en-US" w:eastAsia="zh-CN"/>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公司</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在册人员</w:t>
      </w:r>
      <w:r>
        <w:rPr>
          <w:rFonts w:hint="eastAsia" w:ascii="Times New Roman" w:hAnsi="Times New Roman" w:cs="Times New Roman"/>
          <w:color w:val="000000" w:themeColor="text1"/>
          <w:sz w:val="28"/>
          <w:szCs w:val="28"/>
          <w:lang w:val="en-US" w:eastAsia="zh-CN"/>
          <w14:textFill>
            <w14:solidFill>
              <w14:schemeClr w14:val="tx1"/>
            </w14:solidFill>
          </w14:textFill>
        </w:rPr>
        <w:t>20</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人，其中管理人员</w:t>
      </w: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人生产人员</w:t>
      </w:r>
      <w:r>
        <w:rPr>
          <w:rFonts w:hint="eastAsia" w:ascii="Times New Roman" w:hAnsi="Times New Roman" w:cs="Times New Roman"/>
          <w:color w:val="000000" w:themeColor="text1"/>
          <w:sz w:val="28"/>
          <w:szCs w:val="28"/>
          <w:lang w:val="en-US" w:eastAsia="zh-CN"/>
          <w14:textFill>
            <w14:solidFill>
              <w14:schemeClr w14:val="tx1"/>
            </w14:solidFill>
          </w14:textFill>
        </w:rPr>
        <w:t>17</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人。</w:t>
      </w:r>
    </w:p>
    <w:p w14:paraId="50D646F2">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221" w:name="_Toc8899"/>
      <w:bookmarkStart w:id="222" w:name="_Toc9565"/>
      <w:bookmarkStart w:id="223" w:name="_Toc16033"/>
      <w:r>
        <w:rPr>
          <w:rFonts w:hint="default" w:ascii="Times New Roman" w:hAnsi="Times New Roman" w:eastAsia="黑体"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eastAsia="黑体" w:cs="Times New Roman"/>
          <w:color w:val="000000" w:themeColor="text1"/>
          <w14:textFill>
            <w14:solidFill>
              <w14:schemeClr w14:val="tx1"/>
            </w14:solidFill>
          </w14:textFill>
        </w:rPr>
        <w:t>.2</w:t>
      </w:r>
      <w:r>
        <w:rPr>
          <w:rFonts w:hint="default" w:ascii="Times New Roman" w:hAnsi="Times New Roman" w:eastAsia="黑体" w:cs="Times New Roman"/>
          <w:color w:val="000000" w:themeColor="text1"/>
          <w:lang w:val="en-US" w:eastAsia="zh-CN"/>
          <w14:textFill>
            <w14:solidFill>
              <w14:schemeClr w14:val="tx1"/>
            </w14:solidFill>
          </w14:textFill>
        </w:rPr>
        <w:t xml:space="preserve"> 安全管理机构</w:t>
      </w:r>
      <w:bookmarkEnd w:id="221"/>
    </w:p>
    <w:p w14:paraId="7E9B56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hAnsi="宋体" w:cs="Times New Roman"/>
          <w:color w:val="000000" w:themeColor="text1"/>
          <w:sz w:val="28"/>
          <w:szCs w:val="28"/>
          <w:lang w:val="en-US" w:eastAsia="zh-CN"/>
          <w14:textFill>
            <w14:solidFill>
              <w14:schemeClr w14:val="tx1"/>
            </w14:solidFill>
          </w14:textFill>
        </w:rPr>
      </w:pPr>
      <w:r>
        <w:rPr>
          <w:rFonts w:hint="eastAsia" w:ascii="宋体" w:hAnsi="宋体" w:eastAsia="宋体" w:cs="Times New Roman"/>
          <w:color w:val="000000" w:themeColor="text1"/>
          <w:sz w:val="28"/>
          <w:szCs w:val="28"/>
          <w:lang w:val="en-US" w:eastAsia="zh-CN"/>
          <w14:textFill>
            <w14:solidFill>
              <w14:schemeClr w14:val="tx1"/>
            </w14:solidFill>
          </w14:textFill>
        </w:rPr>
        <mc:AlternateContent>
          <mc:Choice Requires="wps">
            <w:drawing>
              <wp:anchor distT="0" distB="0" distL="114300" distR="114300" simplePos="0" relativeHeight="251661312" behindDoc="1" locked="0" layoutInCell="1" allowOverlap="1">
                <wp:simplePos x="0" y="0"/>
                <wp:positionH relativeFrom="column">
                  <wp:posOffset>820420</wp:posOffset>
                </wp:positionH>
                <wp:positionV relativeFrom="paragraph">
                  <wp:posOffset>1250950</wp:posOffset>
                </wp:positionV>
                <wp:extent cx="3528695" cy="2894330"/>
                <wp:effectExtent l="0" t="0" r="0" b="0"/>
                <wp:wrapNone/>
                <wp:docPr id="3"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TextEdit="1"/>
                      </wps:cNvSpPr>
                      <wps:spPr>
                        <a:xfrm>
                          <a:off x="0" y="0"/>
                          <a:ext cx="3528695" cy="2894330"/>
                        </a:xfrm>
                        <a:prstGeom prst="rect">
                          <a:avLst/>
                        </a:prstGeom>
                        <a:noFill/>
                        <a:ln>
                          <a:noFill/>
                        </a:ln>
                      </wps:spPr>
                      <wps:bodyPr upright="1"/>
                    </wps:wsp>
                  </a:graphicData>
                </a:graphic>
              </wp:anchor>
            </w:drawing>
          </mc:Choice>
          <mc:Fallback>
            <w:pict>
              <v:rect id="矩形 1" o:spid="_x0000_s1026" o:spt="1" style="position:absolute;left:0pt;margin-left:64.6pt;margin-top:98.5pt;height:227.9pt;width:277.85pt;z-index:-251655168;mso-width-relative:page;mso-height-relative:page;" filled="f" stroked="f" coordsize="21600,21600" o:gfxdata="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W0HC0doAAAALAQAADwAAAAAAAAABACAAAAAiAAAAZHJzL2Rvd25yZXYueG1s&#10;UEsBAhQAFAAAAAgAh07iQPilek+9AQAAcgMAAA4AAAAAAAAAAQAgAAAAKQEAAGRycy9lMm9Eb2Mu&#10;eG1sUEsFBgAAAAAGAAYAWQEAAFgFAAAAAA==&#10;">
                <v:fill on="f" focussize="0,0"/>
                <v:stroke on="f"/>
                <v:imagedata o:title=""/>
                <o:lock v:ext="edit" text="t" aspectratio="t"/>
              </v:rect>
            </w:pict>
          </mc:Fallback>
        </mc:AlternateContent>
      </w:r>
      <w:r>
        <w:rPr>
          <w:rFonts w:hint="eastAsia" w:hAnsi="宋体" w:cs="Times New Roman"/>
          <w:color w:val="000000" w:themeColor="text1"/>
          <w:sz w:val="28"/>
          <w:szCs w:val="28"/>
          <w:lang w:val="en-US" w:eastAsia="zh-CN"/>
          <w14:textFill>
            <w14:solidFill>
              <w14:schemeClr w14:val="tx1"/>
            </w14:solidFill>
          </w14:textFill>
        </w:rPr>
        <w:t>牟定乾泰建材有限公司设置有安全管理机构，根据相关法律、法规要求并结合自身实际情况成立了安全管理领导小组，任命王琪为企业专职安全管理人员，负责日常的安全管理工作。公司安全管理网络图见图</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w:t>
      </w:r>
      <w:r>
        <w:rPr>
          <w:rFonts w:hint="eastAsia" w:ascii="Times New Roman" w:cs="Times New Roman"/>
          <w:color w:val="000000" w:themeColor="text1"/>
          <w:sz w:val="28"/>
          <w:szCs w:val="28"/>
          <w:lang w:val="en-US" w:eastAsia="zh-CN"/>
          <w14:textFill>
            <w14:solidFill>
              <w14:schemeClr w14:val="tx1"/>
            </w14:solidFill>
          </w14:textFill>
        </w:rPr>
        <w:t>4</w:t>
      </w:r>
      <w:r>
        <w:rPr>
          <w:rFonts w:hint="eastAsia" w:hAnsi="宋体" w:cs="Times New Roman"/>
          <w:color w:val="000000" w:themeColor="text1"/>
          <w:sz w:val="28"/>
          <w:szCs w:val="28"/>
          <w:lang w:val="en-US" w:eastAsia="zh-CN"/>
          <w14:textFill>
            <w14:solidFill>
              <w14:schemeClr w14:val="tx1"/>
            </w14:solidFill>
          </w14:textFill>
        </w:rPr>
        <w:t>：</w:t>
      </w:r>
      <w:bookmarkEnd w:id="222"/>
      <w:bookmarkEnd w:id="223"/>
    </w:p>
    <w:p w14:paraId="18C84B63">
      <w:pPr>
        <w:pStyle w:val="9"/>
        <w:rPr>
          <w:rFonts w:hint="eastAsia"/>
          <w:color w:val="000000" w:themeColor="text1"/>
          <w:lang w:val="en-US" w:eastAsia="zh-CN"/>
          <w14:textFill>
            <w14:solidFill>
              <w14:schemeClr w14:val="tx1"/>
            </w14:solidFill>
          </w14:textFill>
        </w:rPr>
      </w:pPr>
    </w:p>
    <w:p w14:paraId="6E7A1823">
      <w:pPr>
        <w:spacing w:line="500" w:lineRule="exact"/>
        <w:ind w:firstLine="560" w:firstLineChars="200"/>
        <w:rPr>
          <w:rFonts w:ascii="宋体" w:hAnsi="宋体"/>
          <w:color w:val="000000" w:themeColor="text1"/>
          <w:sz w:val="28"/>
          <w:szCs w:val="28"/>
          <w14:textFill>
            <w14:solidFill>
              <w14:schemeClr w14:val="tx1"/>
            </w14:solidFill>
          </w14:textFill>
        </w:rPr>
      </w:pPr>
      <w:r>
        <w:rPr>
          <w:color w:val="000000" w:themeColor="text1"/>
          <w:sz w:val="28"/>
          <w14:textFill>
            <w14:solidFill>
              <w14:schemeClr w14:val="tx1"/>
            </w14:solidFill>
          </w14:textFill>
        </w:rPr>
        <mc:AlternateContent>
          <mc:Choice Requires="wpg">
            <w:drawing>
              <wp:anchor distT="0" distB="0" distL="114300" distR="114300" simplePos="0" relativeHeight="251663360" behindDoc="0" locked="0" layoutInCell="1" allowOverlap="1">
                <wp:simplePos x="0" y="0"/>
                <wp:positionH relativeFrom="column">
                  <wp:posOffset>1073150</wp:posOffset>
                </wp:positionH>
                <wp:positionV relativeFrom="paragraph">
                  <wp:posOffset>40005</wp:posOffset>
                </wp:positionV>
                <wp:extent cx="2813685" cy="2524125"/>
                <wp:effectExtent l="4445" t="4445" r="20320" b="24130"/>
                <wp:wrapNone/>
                <wp:docPr id="77" name="组合 77"/>
                <wp:cNvGraphicFramePr/>
                <a:graphic xmlns:a="http://schemas.openxmlformats.org/drawingml/2006/main">
                  <a:graphicData uri="http://schemas.microsoft.com/office/word/2010/wordprocessingGroup">
                    <wpg:wgp>
                      <wpg:cNvGrpSpPr/>
                      <wpg:grpSpPr>
                        <a:xfrm>
                          <a:off x="0" y="0"/>
                          <a:ext cx="2813685" cy="2524125"/>
                          <a:chOff x="4132" y="434865"/>
                          <a:chExt cx="4431" cy="3975"/>
                        </a:xfrm>
                      </wpg:grpSpPr>
                      <wps:wsp>
                        <wps:cNvPr id="32" name="文本框 32"/>
                        <wps:cNvSpPr txBox="1"/>
                        <wps:spPr>
                          <a:xfrm>
                            <a:off x="5490" y="435839"/>
                            <a:ext cx="1881" cy="51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681C05E">
                              <w:pPr>
                                <w:jc w:val="center"/>
                                <w:rPr>
                                  <w:rFonts w:hint="eastAsia" w:eastAsia="宋体"/>
                                  <w:lang w:eastAsia="zh-CN"/>
                                </w:rPr>
                              </w:pPr>
                              <w:r>
                                <w:rPr>
                                  <w:rFonts w:hint="eastAsia"/>
                                  <w:lang w:eastAsia="zh-CN"/>
                                </w:rPr>
                                <w:t>安全管理人员</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文本框 34"/>
                        <wps:cNvSpPr txBox="1"/>
                        <wps:spPr>
                          <a:xfrm>
                            <a:off x="4132" y="437333"/>
                            <a:ext cx="566" cy="1501"/>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4733E97">
                              <w:pPr>
                                <w:rPr>
                                  <w:rFonts w:hint="eastAsia" w:eastAsia="宋体"/>
                                  <w:lang w:eastAsia="zh-CN"/>
                                </w:rPr>
                              </w:pPr>
                              <w:r>
                                <w:rPr>
                                  <w:rFonts w:hint="eastAsia"/>
                                  <w:lang w:eastAsia="zh-CN"/>
                                </w:rPr>
                                <w:t>破碎车间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5" name="文本框 35"/>
                        <wps:cNvSpPr txBox="1"/>
                        <wps:spPr>
                          <a:xfrm>
                            <a:off x="5101" y="437308"/>
                            <a:ext cx="566" cy="1501"/>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D973349">
                              <w:pPr>
                                <w:rPr>
                                  <w:rFonts w:hint="eastAsia" w:eastAsia="宋体"/>
                                  <w:lang w:eastAsia="zh-CN"/>
                                </w:rPr>
                              </w:pPr>
                              <w:r>
                                <w:rPr>
                                  <w:rFonts w:hint="eastAsia"/>
                                  <w:lang w:eastAsia="zh-CN"/>
                                </w:rPr>
                                <w:t>制砖车间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 name="文本框 38"/>
                        <wps:cNvSpPr txBox="1"/>
                        <wps:spPr>
                          <a:xfrm>
                            <a:off x="6061" y="437308"/>
                            <a:ext cx="566" cy="1501"/>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7EA3AFB">
                              <w:pPr>
                                <w:rPr>
                                  <w:rFonts w:hint="eastAsia" w:eastAsia="宋体"/>
                                  <w:lang w:eastAsia="zh-CN"/>
                                </w:rPr>
                              </w:pPr>
                              <w:r>
                                <w:rPr>
                                  <w:rFonts w:hint="eastAsia"/>
                                  <w:lang w:eastAsia="zh-CN"/>
                                </w:rPr>
                                <w:t>成品车间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文本框 40"/>
                        <wps:cNvSpPr txBox="1"/>
                        <wps:spPr>
                          <a:xfrm>
                            <a:off x="7037" y="437308"/>
                            <a:ext cx="566" cy="1501"/>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43955D3">
                              <w:pPr>
                                <w:rPr>
                                  <w:rFonts w:hint="eastAsia" w:eastAsia="宋体"/>
                                  <w:lang w:eastAsia="zh-CN"/>
                                </w:rPr>
                              </w:pPr>
                              <w:r>
                                <w:rPr>
                                  <w:rFonts w:hint="eastAsia" w:eastAsia="宋体"/>
                                  <w:lang w:eastAsia="zh-CN"/>
                                </w:rPr>
                                <w:t>后勤部门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文本框 42"/>
                        <wps:cNvSpPr txBox="1"/>
                        <wps:spPr>
                          <a:xfrm>
                            <a:off x="7997" y="437340"/>
                            <a:ext cx="566" cy="1501"/>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500792C">
                              <w:pPr>
                                <w:rPr>
                                  <w:rFonts w:hint="eastAsia" w:eastAsia="宋体"/>
                                  <w:lang w:eastAsia="zh-CN"/>
                                </w:rPr>
                              </w:pPr>
                              <w:r>
                                <w:rPr>
                                  <w:rFonts w:hint="eastAsia"/>
                                  <w:lang w:eastAsia="zh-CN"/>
                                </w:rPr>
                                <w:t>办公室</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8" name="直接箭头连接符 48"/>
                        <wps:cNvCnPr/>
                        <wps:spPr>
                          <a:xfrm>
                            <a:off x="6446" y="436363"/>
                            <a:ext cx="0" cy="467"/>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49" name="直接箭头连接符 49"/>
                        <wps:cNvCnPr/>
                        <wps:spPr>
                          <a:xfrm>
                            <a:off x="7322" y="436838"/>
                            <a:ext cx="0" cy="474"/>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2" name="直接连接符 2"/>
                        <wps:cNvCnPr/>
                        <wps:spPr>
                          <a:xfrm>
                            <a:off x="4400" y="436833"/>
                            <a:ext cx="2908" cy="0"/>
                          </a:xfrm>
                          <a:prstGeom prst="line">
                            <a:avLst/>
                          </a:prstGeom>
                          <a:ln w="952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43" name="直接箭头连接符 43"/>
                        <wps:cNvCnPr/>
                        <wps:spPr>
                          <a:xfrm>
                            <a:off x="6442" y="436838"/>
                            <a:ext cx="0" cy="474"/>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44" name="直接箭头连接符 44"/>
                        <wps:cNvCnPr/>
                        <wps:spPr>
                          <a:xfrm>
                            <a:off x="5386" y="436838"/>
                            <a:ext cx="0" cy="474"/>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53" name="直接箭头连接符 53"/>
                        <wps:cNvCnPr/>
                        <wps:spPr>
                          <a:xfrm>
                            <a:off x="4410" y="436838"/>
                            <a:ext cx="0" cy="474"/>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g:grpSp>
                        <wpg:cNvPr id="76" name="组合 76"/>
                        <wpg:cNvGrpSpPr/>
                        <wpg:grpSpPr>
                          <a:xfrm>
                            <a:off x="5838" y="434865"/>
                            <a:ext cx="2444" cy="2465"/>
                            <a:chOff x="5838" y="434865"/>
                            <a:chExt cx="2444" cy="2465"/>
                          </a:xfrm>
                        </wpg:grpSpPr>
                        <wps:wsp>
                          <wps:cNvPr id="7" name="文本框 7"/>
                          <wps:cNvSpPr txBox="1"/>
                          <wps:spPr>
                            <a:xfrm>
                              <a:off x="5838" y="434865"/>
                              <a:ext cx="1250" cy="51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60FDA15">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总经理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 name="直接箭头连接符 46"/>
                          <wps:cNvCnPr/>
                          <wps:spPr>
                            <a:xfrm>
                              <a:off x="6464" y="435388"/>
                              <a:ext cx="0" cy="466"/>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57" name="直接箭头连接符 57"/>
                          <wps:cNvCnPr/>
                          <wps:spPr>
                            <a:xfrm>
                              <a:off x="8278" y="435128"/>
                              <a:ext cx="0" cy="2203"/>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75" name="直接连接符 75"/>
                          <wps:cNvCnPr>
                            <a:stCxn id="7" idx="3"/>
                          </wps:cNvCnPr>
                          <wps:spPr>
                            <a:xfrm>
                              <a:off x="7088" y="435124"/>
                              <a:ext cx="1195" cy="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g:grpSp>
                    </wpg:wgp>
                  </a:graphicData>
                </a:graphic>
              </wp:anchor>
            </w:drawing>
          </mc:Choice>
          <mc:Fallback>
            <w:pict>
              <v:group id="_x0000_s1026" o:spid="_x0000_s1026" o:spt="203" style="position:absolute;left:0pt;margin-left:84.5pt;margin-top:3.15pt;height:198.75pt;width:221.55pt;z-index:251663360;mso-width-relative:page;mso-height-relative:page;" coordorigin="4132,434865" coordsize="4431,3975" o:gfxdata="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">
                <o:lock v:ext="edit" aspectratio="f"/>
                <v:shape id="_x0000_s1026" o:spid="_x0000_s1026" o:spt="202" type="#_x0000_t202" style="position:absolute;left:5490;top:435839;height:517;width:1881;" fillcolor="#FFFFFF [3201]" filled="t" stroked="t" coordsize="21600,21600" o:gfxdata="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jf5aq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14:paraId="7681C05E">
                        <w:pPr>
                          <w:jc w:val="center"/>
                          <w:rPr>
                            <w:rFonts w:hint="eastAsia" w:eastAsia="宋体"/>
                            <w:lang w:eastAsia="zh-CN"/>
                          </w:rPr>
                        </w:pPr>
                        <w:r>
                          <w:rPr>
                            <w:rFonts w:hint="eastAsia"/>
                            <w:lang w:eastAsia="zh-CN"/>
                          </w:rPr>
                          <w:t>安全管理人员</w:t>
                        </w:r>
                      </w:p>
                    </w:txbxContent>
                  </v:textbox>
                </v:shape>
                <v:shape id="_x0000_s1026" o:spid="_x0000_s1026" o:spt="202" type="#_x0000_t202" style="position:absolute;left:4132;top:437333;height:1501;width:566;" fillcolor="#FFFFFF [3201]" filled="t" stroked="t" coordsize="21600,21600" o:gfxdata="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ethF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44733E97">
                        <w:pPr>
                          <w:rPr>
                            <w:rFonts w:hint="eastAsia" w:eastAsia="宋体"/>
                            <w:lang w:eastAsia="zh-CN"/>
                          </w:rPr>
                        </w:pPr>
                        <w:r>
                          <w:rPr>
                            <w:rFonts w:hint="eastAsia"/>
                            <w:lang w:eastAsia="zh-CN"/>
                          </w:rPr>
                          <w:t>破碎车间</w:t>
                        </w:r>
                      </w:p>
                    </w:txbxContent>
                  </v:textbox>
                </v:shape>
                <v:shape id="_x0000_s1026" o:spid="_x0000_s1026" o:spt="202" type="#_x0000_t202" style="position:absolute;left:5101;top:437308;height:1501;width:566;" fillcolor="#FFFFFF [3201]" filled="t" stroked="t" coordsize="21600,21600" o:gfxdata="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nNn3e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1D973349">
                        <w:pPr>
                          <w:rPr>
                            <w:rFonts w:hint="eastAsia" w:eastAsia="宋体"/>
                            <w:lang w:eastAsia="zh-CN"/>
                          </w:rPr>
                        </w:pPr>
                        <w:r>
                          <w:rPr>
                            <w:rFonts w:hint="eastAsia"/>
                            <w:lang w:eastAsia="zh-CN"/>
                          </w:rPr>
                          <w:t>制砖车间</w:t>
                        </w:r>
                      </w:p>
                    </w:txbxContent>
                  </v:textbox>
                </v:shape>
                <v:shape id="_x0000_s1026" o:spid="_x0000_s1026" o:spt="202" type="#_x0000_t202" style="position:absolute;left:6061;top:437308;height:1501;width:566;" fillcolor="#FFFFFF [3201]" filled="t" stroked="t" coordsize="21600,21600" o:gfxdata="UEsDBAoAAAAAAIdO4kAAAAAAAAAAAAAAAAAEAAAAZHJzL1BLAwQUAAAACACHTuJASTfSQLQAAADb&#10;AAAADwAAAGRycy9kb3ducmV2LnhtbEVPvQrCMBDeBd8hnOCmaS2IVGNBQRA3tYvb0ZxtsbmUJFp9&#10;ezMIjh/f/6Z4m068yPnWsoJ0noAgrqxuuVZQXg+zFQgfkDV2lknBhzwU2/Fog7m2A5/pdQm1iCHs&#10;c1TQhNDnUvqqIYN+bnviyN2tMxgidLXUDocYbjq5SJKlNNhybGiwp31D1ePyNAqOy124UalPOltk&#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JN9JA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07EA3AFB">
                        <w:pPr>
                          <w:rPr>
                            <w:rFonts w:hint="eastAsia" w:eastAsia="宋体"/>
                            <w:lang w:eastAsia="zh-CN"/>
                          </w:rPr>
                        </w:pPr>
                        <w:r>
                          <w:rPr>
                            <w:rFonts w:hint="eastAsia"/>
                            <w:lang w:eastAsia="zh-CN"/>
                          </w:rPr>
                          <w:t>成品车间</w:t>
                        </w:r>
                      </w:p>
                    </w:txbxContent>
                  </v:textbox>
                </v:shape>
                <v:shape id="_x0000_s1026" o:spid="_x0000_s1026" o:spt="202" type="#_x0000_t202" style="position:absolute;left:7037;top:437308;height:1501;width:566;" fillcolor="#FFFFFF [3201]" filled="t" stroked="t" coordsize="21600,21600" o:gfxdata="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vR607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743955D3">
                        <w:pPr>
                          <w:rPr>
                            <w:rFonts w:hint="eastAsia" w:eastAsia="宋体"/>
                            <w:lang w:eastAsia="zh-CN"/>
                          </w:rPr>
                        </w:pPr>
                        <w:r>
                          <w:rPr>
                            <w:rFonts w:hint="eastAsia" w:eastAsia="宋体"/>
                            <w:lang w:eastAsia="zh-CN"/>
                          </w:rPr>
                          <w:t>后勤部门</w:t>
                        </w:r>
                      </w:p>
                    </w:txbxContent>
                  </v:textbox>
                </v:shape>
                <v:shape id="_x0000_s1026" o:spid="_x0000_s1026" o:spt="202" type="#_x0000_t202" style="position:absolute;left:7997;top:437340;height:1501;width:566;" fillcolor="#FFFFFF [3201]" filled="t" stroked="t" coordsize="21600,21600" o:gfxdata="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2ZbX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2500792C">
                        <w:pPr>
                          <w:rPr>
                            <w:rFonts w:hint="eastAsia" w:eastAsia="宋体"/>
                            <w:lang w:eastAsia="zh-CN"/>
                          </w:rPr>
                        </w:pPr>
                        <w:r>
                          <w:rPr>
                            <w:rFonts w:hint="eastAsia"/>
                            <w:lang w:eastAsia="zh-CN"/>
                          </w:rPr>
                          <w:t>办公室</w:t>
                        </w:r>
                      </w:p>
                    </w:txbxContent>
                  </v:textbox>
                </v:shape>
                <v:shape id="_x0000_s1026" o:spid="_x0000_s1026" o:spt="32" type="#_x0000_t32" style="position:absolute;left:6446;top:436363;height:467;width:0;" filled="f" stroked="t" coordsize="21600,21600" o:gfxdata="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2Qc0RugAAANsA&#10;AAAPAAAAAAAAAAEAIAAAACIAAABkcnMvZG93bnJldi54bWxQSwECFAAUAAAACACHTuJAMy8FnjsA&#10;AAA5AAAAEAAAAAAAAAABACAAAAAJAQAAZHJzL3NoYXBleG1sLnhtbFBLBQYAAAAABgAGAFsBAACz&#10;AwAAAAA=&#10;">
                  <v:fill on="f" focussize="0,0"/>
                  <v:stroke weight="1pt" color="#000000 [3213]" joinstyle="round" endarrow="open"/>
                  <v:imagedata o:title=""/>
                  <o:lock v:ext="edit" aspectratio="f"/>
                </v:shape>
                <v:shape id="_x0000_s1026" o:spid="_x0000_s1026" o:spt="32" type="#_x0000_t32" style="position:absolute;left:7322;top:436838;height:474;width:0;" filled="f" stroked="t" coordsize="21600,21600" o:gfxdata="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kNaIq/&#10;AAAA2wAAAA8AAAAAAAAAAQAgAAAAIgAAAGRycy9kb3ducmV2LnhtbFBLAQIUABQAAAAIAIdO4kAz&#10;LwWeOwAAADkAAAAQAAAAAAAAAAEAIAAAAA4BAABkcnMvc2hhcGV4bWwueG1sUEsFBgAAAAAGAAYA&#10;WwEAALgDAAAAAA==&#10;">
                  <v:fill on="f" focussize="0,0"/>
                  <v:stroke weight="1pt" color="#000000 [3213]" joinstyle="round" endarrow="open"/>
                  <v:imagedata o:title=""/>
                  <o:lock v:ext="edit" aspectratio="f"/>
                </v:shape>
                <v:line id="_x0000_s1026" o:spid="_x0000_s1026" o:spt="20" style="position:absolute;left:4400;top:436833;height:0;width:2908;" filled="f" stroked="t" coordsize="21600,21600" o:gfxdata="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SEfO8AAAA&#10;2gAAAA8AAAAAAAAAAQAgAAAAIgAAAGRycy9kb3ducmV2LnhtbFBLAQIUABQAAAAIAIdO4kAzLwWe&#10;OwAAADkAAAAQAAAAAAAAAAEAIAAAAAsBAABkcnMvc2hhcGV4bWwueG1sUEsFBgAAAAAGAAYAWwEA&#10;ALUDAAAAAA==&#10;">
                  <v:fill on="f" focussize="0,0"/>
                  <v:stroke color="#000000 [3213]" joinstyle="round"/>
                  <v:imagedata o:title=""/>
                  <o:lock v:ext="edit" aspectratio="f"/>
                </v:line>
                <v:shape id="_x0000_s1026" o:spid="_x0000_s1026" o:spt="32" type="#_x0000_t32" style="position:absolute;left:6442;top:436838;height:474;width:0;" filled="f" stroked="t" coordsize="21600,21600" o:gfxdata="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jlX2C/&#10;AAAA2wAAAA8AAAAAAAAAAQAgAAAAIgAAAGRycy9kb3ducmV2LnhtbFBLAQIUABQAAAAIAIdO4kAz&#10;LwWeOwAAADkAAAAQAAAAAAAAAAEAIAAAAA4BAABkcnMvc2hhcGV4bWwueG1sUEsFBgAAAAAGAAYA&#10;WwEAALgDAAAAAA==&#10;">
                  <v:fill on="f" focussize="0,0"/>
                  <v:stroke weight="1pt" color="#000000 [3213]" joinstyle="round" endarrow="open"/>
                  <v:imagedata o:title=""/>
                  <o:lock v:ext="edit" aspectratio="f"/>
                </v:shape>
                <v:shape id="_x0000_s1026" o:spid="_x0000_s1026" o:spt="32" type="#_x0000_t32" style="position:absolute;left:5386;top:436838;height:474;width:0;" filled="f" stroked="t" coordsize="21600,21600" o:gfxdata="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wzHFL4A&#10;AADbAAAADwAAAAAAAAABACAAAAAiAAAAZHJzL2Rvd25yZXYueG1sUEsBAhQAFAAAAAgAh07iQDMv&#10;BZ47AAAAOQAAABAAAAAAAAAAAQAgAAAADQEAAGRycy9zaGFwZXhtbC54bWxQSwUGAAAAAAYABgBb&#10;AQAAtwMAAAAA&#10;">
                  <v:fill on="f" focussize="0,0"/>
                  <v:stroke weight="1pt" color="#000000 [3213]" joinstyle="round" endarrow="open"/>
                  <v:imagedata o:title=""/>
                  <o:lock v:ext="edit" aspectratio="f"/>
                </v:shape>
                <v:shape id="_x0000_s1026" o:spid="_x0000_s1026" o:spt="32" type="#_x0000_t32" style="position:absolute;left:4410;top:436838;height:474;width:0;" filled="f" stroked="t" coordsize="21600,21600" o:gfxdata="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08yb2/&#10;AAAA2wAAAA8AAAAAAAAAAQAgAAAAIgAAAGRycy9kb3ducmV2LnhtbFBLAQIUABQAAAAIAIdO4kAz&#10;LwWeOwAAADkAAAAQAAAAAAAAAAEAIAAAAA4BAABkcnMvc2hhcGV4bWwueG1sUEsFBgAAAAAGAAYA&#10;WwEAALgDAAAAAA==&#10;">
                  <v:fill on="f" focussize="0,0"/>
                  <v:stroke weight="1pt" color="#000000 [3213]" joinstyle="round" endarrow="open"/>
                  <v:imagedata o:title=""/>
                  <o:lock v:ext="edit" aspectratio="f"/>
                </v:shape>
                <v:group id="_x0000_s1026" o:spid="_x0000_s1026" o:spt="203" style="position:absolute;left:5838;top:434865;height:2465;width:2444;" coordorigin="5838,434865" coordsize="2444,2465" o:gfxdata="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PdElavwAAANs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5838;top:434865;height:517;width:1250;" fillcolor="#FFFFFF [3201]" filled="t" stroked="t" coordsize="21600,21600" o:gfxdata="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aHlYe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14:paraId="560FDA15">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总经理</w:t>
                          </w:r>
                        </w:p>
                      </w:txbxContent>
                    </v:textbox>
                  </v:shape>
                  <v:shape id="_x0000_s1026" o:spid="_x0000_s1026" o:spt="32" type="#_x0000_t32" style="position:absolute;left:6464;top:435388;height:466;width:0;" filled="f" stroked="t" coordsize="21600,21600" o:gfxdata="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JL8+L4A&#10;AADbAAAADwAAAAAAAAABACAAAAAiAAAAZHJzL2Rvd25yZXYueG1sUEsBAhQAFAAAAAgAh07iQDMv&#10;BZ47AAAAOQAAABAAAAAAAAAAAQAgAAAADQEAAGRycy9zaGFwZXhtbC54bWxQSwUGAAAAAAYABgBb&#10;AQAAtwMAAAAA&#10;">
                    <v:fill on="f" focussize="0,0"/>
                    <v:stroke weight="1pt" color="#000000 [3213]" joinstyle="round" endarrow="open"/>
                    <v:imagedata o:title=""/>
                    <o:lock v:ext="edit" aspectratio="f"/>
                  </v:shape>
                  <v:shape id="_x0000_s1026" o:spid="_x0000_s1026" o:spt="32" type="#_x0000_t32" style="position:absolute;left:8278;top:435128;height:2203;width:0;" filled="f" stroked="t" coordsize="21600,21600" o:gfxdata="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B8++vQAA&#10;ANsAAAAPAAAAAAAAAAEAIAAAACIAAABkcnMvZG93bnJldi54bWxQSwECFAAUAAAACACHTuJAMy8F&#10;njsAAAA5AAAAEAAAAAAAAAABACAAAAAMAQAAZHJzL3NoYXBleG1sLnhtbFBLBQYAAAAABgAGAFsB&#10;AAC2AwAAAAA=&#10;">
                    <v:fill on="f" focussize="0,0"/>
                    <v:stroke weight="1pt" color="#000000 [3213]" joinstyle="round" endarrow="open"/>
                    <v:imagedata o:title=""/>
                    <o:lock v:ext="edit" aspectratio="f"/>
                  </v:shape>
                  <v:line id="_x0000_s1026" o:spid="_x0000_s1026" o:spt="20" style="position:absolute;left:7088;top:435124;height:0;width:1195;" filled="f" stroked="t" coordsize="21600,21600" o:gfxdata="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tm9kL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group>
              </v:group>
            </w:pict>
          </mc:Fallback>
        </mc:AlternateContent>
      </w:r>
    </w:p>
    <w:p w14:paraId="64F10435">
      <w:pPr>
        <w:pStyle w:val="70"/>
        <w:keepNext w:val="0"/>
        <w:keepLines w:val="0"/>
        <w:pageBreakBefore w:val="0"/>
        <w:widowControl w:val="0"/>
        <w:kinsoku/>
        <w:wordWrap/>
        <w:overflowPunct/>
        <w:topLinePunct w:val="0"/>
        <w:autoSpaceDE/>
        <w:autoSpaceDN/>
        <w:bidi w:val="0"/>
        <w:adjustRightInd w:val="0"/>
        <w:snapToGrid w:val="0"/>
        <w:textAlignment w:val="auto"/>
        <w:outlineLvl w:val="9"/>
        <w:rPr>
          <w:rFonts w:ascii="宋体" w:hAnsi="宋体"/>
          <w:color w:val="000000" w:themeColor="text1"/>
          <w:sz w:val="28"/>
          <w:szCs w:val="28"/>
          <w14:textFill>
            <w14:solidFill>
              <w14:schemeClr w14:val="tx1"/>
            </w14:solidFill>
          </w14:textFill>
        </w:rPr>
      </w:pPr>
    </w:p>
    <w:p w14:paraId="612346FA">
      <w:pPr>
        <w:pStyle w:val="71"/>
        <w:rPr>
          <w:rFonts w:ascii="宋体" w:hAnsi="宋体"/>
          <w:color w:val="000000" w:themeColor="text1"/>
          <w:sz w:val="28"/>
          <w:szCs w:val="28"/>
          <w14:textFill>
            <w14:solidFill>
              <w14:schemeClr w14:val="tx1"/>
            </w14:solidFill>
          </w14:textFill>
        </w:rPr>
      </w:pPr>
    </w:p>
    <w:p w14:paraId="1AAD711F">
      <w:pPr>
        <w:pStyle w:val="72"/>
        <w:rPr>
          <w:rFonts w:ascii="宋体" w:hAnsi="宋体"/>
          <w:color w:val="000000" w:themeColor="text1"/>
          <w:sz w:val="28"/>
          <w:szCs w:val="28"/>
          <w14:textFill>
            <w14:solidFill>
              <w14:schemeClr w14:val="tx1"/>
            </w14:solidFill>
          </w14:textFill>
        </w:rPr>
      </w:pPr>
    </w:p>
    <w:p w14:paraId="3F17DA76">
      <w:pPr>
        <w:pStyle w:val="68"/>
        <w:keepNext w:val="0"/>
        <w:keepLines w:val="0"/>
        <w:pageBreakBefore w:val="0"/>
        <w:widowControl w:val="0"/>
        <w:kinsoku/>
        <w:wordWrap/>
        <w:overflowPunct/>
        <w:topLinePunct w:val="0"/>
        <w:autoSpaceDE w:val="0"/>
        <w:autoSpaceDN w:val="0"/>
        <w:bidi w:val="0"/>
        <w:adjustRightInd w:val="0"/>
        <w:snapToGrid/>
        <w:jc w:val="center"/>
        <w:textAlignment w:val="auto"/>
        <w:rPr>
          <w:rFonts w:hint="eastAsia" w:ascii="宋体" w:hAnsi="宋体"/>
          <w:color w:val="000000" w:themeColor="text1"/>
          <w:sz w:val="28"/>
          <w:szCs w:val="28"/>
          <w14:textFill>
            <w14:solidFill>
              <w14:schemeClr w14:val="tx1"/>
            </w14:solidFill>
          </w14:textFill>
        </w:rPr>
      </w:pPr>
    </w:p>
    <w:p w14:paraId="529725BC">
      <w:pPr>
        <w:pStyle w:val="68"/>
        <w:keepNext w:val="0"/>
        <w:keepLines w:val="0"/>
        <w:pageBreakBefore w:val="0"/>
        <w:widowControl w:val="0"/>
        <w:kinsoku/>
        <w:wordWrap/>
        <w:overflowPunct/>
        <w:topLinePunct w:val="0"/>
        <w:autoSpaceDE w:val="0"/>
        <w:autoSpaceDN w:val="0"/>
        <w:bidi w:val="0"/>
        <w:adjustRightInd w:val="0"/>
        <w:snapToGrid/>
        <w:jc w:val="center"/>
        <w:textAlignment w:val="auto"/>
        <w:rPr>
          <w:rFonts w:hint="eastAsia" w:ascii="宋体" w:hAnsi="宋体"/>
          <w:color w:val="000000" w:themeColor="text1"/>
          <w:sz w:val="28"/>
          <w:szCs w:val="28"/>
          <w14:textFill>
            <w14:solidFill>
              <w14:schemeClr w14:val="tx1"/>
            </w14:solidFill>
          </w14:textFill>
        </w:rPr>
      </w:pPr>
    </w:p>
    <w:p w14:paraId="74BDA6B5">
      <w:pPr>
        <w:pStyle w:val="68"/>
        <w:keepNext w:val="0"/>
        <w:keepLines w:val="0"/>
        <w:pageBreakBefore w:val="0"/>
        <w:widowControl w:val="0"/>
        <w:kinsoku/>
        <w:wordWrap/>
        <w:overflowPunct/>
        <w:topLinePunct w:val="0"/>
        <w:autoSpaceDE w:val="0"/>
        <w:autoSpaceDN w:val="0"/>
        <w:bidi w:val="0"/>
        <w:adjustRightInd w:val="0"/>
        <w:snapToGrid/>
        <w:jc w:val="center"/>
        <w:textAlignment w:val="auto"/>
        <w:rPr>
          <w:rFonts w:hint="eastAsia" w:ascii="宋体" w:hAnsi="宋体"/>
          <w:color w:val="000000" w:themeColor="text1"/>
          <w:sz w:val="28"/>
          <w:szCs w:val="28"/>
          <w14:textFill>
            <w14:solidFill>
              <w14:schemeClr w14:val="tx1"/>
            </w14:solidFill>
          </w14:textFill>
        </w:rPr>
      </w:pPr>
    </w:p>
    <w:p w14:paraId="6E194F85">
      <w:pPr>
        <w:pStyle w:val="68"/>
        <w:keepNext w:val="0"/>
        <w:keepLines w:val="0"/>
        <w:pageBreakBefore w:val="0"/>
        <w:widowControl w:val="0"/>
        <w:kinsoku/>
        <w:wordWrap/>
        <w:overflowPunct/>
        <w:topLinePunct w:val="0"/>
        <w:autoSpaceDE w:val="0"/>
        <w:autoSpaceDN w:val="0"/>
        <w:bidi w:val="0"/>
        <w:adjustRightInd w:val="0"/>
        <w:snapToGrid/>
        <w:jc w:val="center"/>
        <w:textAlignment w:val="auto"/>
        <w:rPr>
          <w:rFonts w:hint="eastAsia" w:ascii="宋体" w:hAnsi="宋体"/>
          <w:color w:val="000000" w:themeColor="text1"/>
          <w:sz w:val="28"/>
          <w:szCs w:val="28"/>
          <w14:textFill>
            <w14:solidFill>
              <w14:schemeClr w14:val="tx1"/>
            </w14:solidFill>
          </w14:textFill>
        </w:rPr>
      </w:pPr>
    </w:p>
    <w:p w14:paraId="37B3EDAB">
      <w:pPr>
        <w:pStyle w:val="68"/>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cs="Times New Roman"/>
          <w:color w:val="000000" w:themeColor="text1"/>
          <w:sz w:val="28"/>
          <w:szCs w:val="28"/>
          <w14:textFill>
            <w14:solidFill>
              <w14:schemeClr w14:val="tx1"/>
            </w14:solidFill>
          </w14:textFill>
        </w:rPr>
      </w:pPr>
    </w:p>
    <w:p w14:paraId="072F1B81">
      <w:pPr>
        <w:pStyle w:val="9"/>
        <w:bidi w:val="0"/>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图2-</w:t>
      </w:r>
      <w:r>
        <w:rPr>
          <w:rFonts w:hint="eastAsia"/>
          <w:color w:val="000000" w:themeColor="text1"/>
          <w:sz w:val="28"/>
          <w:szCs w:val="28"/>
          <w:lang w:val="en-US" w:eastAsia="zh-CN"/>
          <w14:textFill>
            <w14:solidFill>
              <w14:schemeClr w14:val="tx1"/>
            </w14:solidFill>
          </w14:textFill>
        </w:rPr>
        <w:t>4</w:t>
      </w:r>
      <w:r>
        <w:rPr>
          <w:rFonts w:hint="eastAsia"/>
          <w:color w:val="000000" w:themeColor="text1"/>
          <w:sz w:val="28"/>
          <w:szCs w:val="28"/>
          <w14:textFill>
            <w14:solidFill>
              <w14:schemeClr w14:val="tx1"/>
            </w14:solidFill>
          </w14:textFill>
        </w:rPr>
        <w:t xml:space="preserve"> 安全管理组织机构图</w:t>
      </w:r>
    </w:p>
    <w:p w14:paraId="02570920">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224" w:name="_Toc314238223"/>
      <w:bookmarkStart w:id="225" w:name="_Toc31046"/>
      <w:bookmarkStart w:id="226" w:name="_Toc341693591"/>
      <w:bookmarkStart w:id="227" w:name="_Toc314143763"/>
      <w:bookmarkStart w:id="228" w:name="_Toc2139"/>
      <w:bookmarkStart w:id="229" w:name="_Toc31868"/>
      <w:bookmarkStart w:id="230" w:name="_Toc313524417"/>
      <w:r>
        <w:rPr>
          <w:rFonts w:hint="default" w:ascii="Times New Roman" w:hAnsi="Times New Roman" w:eastAsia="黑体"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eastAsia="黑体"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3 </w:t>
      </w:r>
      <w:r>
        <w:rPr>
          <w:rFonts w:hint="default" w:ascii="Times New Roman" w:hAnsi="Times New Roman" w:eastAsia="黑体" w:cs="Times New Roman"/>
          <w:color w:val="000000" w:themeColor="text1"/>
          <w14:textFill>
            <w14:solidFill>
              <w14:schemeClr w14:val="tx1"/>
            </w14:solidFill>
          </w14:textFill>
        </w:rPr>
        <w:t>安全管理制度、安全生产责任制及安全操作规程</w:t>
      </w:r>
      <w:bookmarkEnd w:id="224"/>
      <w:bookmarkEnd w:id="225"/>
      <w:bookmarkEnd w:id="226"/>
      <w:bookmarkEnd w:id="227"/>
      <w:bookmarkEnd w:id="228"/>
      <w:bookmarkEnd w:id="229"/>
      <w:bookmarkEnd w:id="230"/>
    </w:p>
    <w:p w14:paraId="545208A5">
      <w:pPr>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企业根据实际的安全管理需要，制定了安全生产责任制、安全管理制度、安全生产操作规程。</w:t>
      </w:r>
    </w:p>
    <w:p w14:paraId="092436AB">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表2-5 公司制定的主要安全管理制度一览表</w:t>
      </w:r>
    </w:p>
    <w:tbl>
      <w:tblPr>
        <w:tblStyle w:val="51"/>
        <w:tblW w:w="49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3569"/>
        <w:gridCol w:w="519"/>
        <w:gridCol w:w="3797"/>
      </w:tblGrid>
      <w:tr w14:paraId="3BF7D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321EE72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序号</w:t>
            </w:r>
          </w:p>
        </w:tc>
        <w:tc>
          <w:tcPr>
            <w:tcW w:w="3569" w:type="dxa"/>
            <w:noWrap/>
            <w:vAlign w:val="center"/>
          </w:tcPr>
          <w:p w14:paraId="457F6C44">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称</w:t>
            </w:r>
          </w:p>
        </w:tc>
        <w:tc>
          <w:tcPr>
            <w:tcW w:w="519" w:type="dxa"/>
            <w:noWrap/>
            <w:vAlign w:val="center"/>
          </w:tcPr>
          <w:p w14:paraId="4EF77371">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序号</w:t>
            </w:r>
          </w:p>
        </w:tc>
        <w:tc>
          <w:tcPr>
            <w:tcW w:w="3797" w:type="dxa"/>
            <w:noWrap/>
            <w:vAlign w:val="center"/>
          </w:tcPr>
          <w:p w14:paraId="1750A6F8">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称</w:t>
            </w:r>
          </w:p>
        </w:tc>
      </w:tr>
      <w:tr w14:paraId="0F591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520" w:type="dxa"/>
            <w:noWrap/>
            <w:vAlign w:val="center"/>
          </w:tcPr>
          <w:p w14:paraId="02D9402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w:t>
            </w:r>
          </w:p>
        </w:tc>
        <w:tc>
          <w:tcPr>
            <w:tcW w:w="3569" w:type="dxa"/>
            <w:noWrap/>
            <w:vAlign w:val="center"/>
          </w:tcPr>
          <w:p w14:paraId="63EEB6A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安全会议管理制度</w:t>
            </w:r>
          </w:p>
        </w:tc>
        <w:tc>
          <w:tcPr>
            <w:tcW w:w="519" w:type="dxa"/>
            <w:noWrap/>
            <w:vAlign w:val="center"/>
          </w:tcPr>
          <w:p w14:paraId="398EC9A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w:t>
            </w:r>
          </w:p>
        </w:tc>
        <w:tc>
          <w:tcPr>
            <w:tcW w:w="3797" w:type="dxa"/>
            <w:noWrap/>
            <w:vAlign w:val="center"/>
          </w:tcPr>
          <w:p w14:paraId="3D1043D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安全生产投入保障制度</w:t>
            </w:r>
          </w:p>
        </w:tc>
      </w:tr>
      <w:tr w14:paraId="3FD5C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1765C62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w:t>
            </w:r>
          </w:p>
        </w:tc>
        <w:tc>
          <w:tcPr>
            <w:tcW w:w="3569" w:type="dxa"/>
            <w:noWrap/>
            <w:vAlign w:val="center"/>
          </w:tcPr>
          <w:p w14:paraId="2DC9596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安全生产培训教育制度</w:t>
            </w:r>
          </w:p>
        </w:tc>
        <w:tc>
          <w:tcPr>
            <w:tcW w:w="519" w:type="dxa"/>
            <w:noWrap/>
            <w:vAlign w:val="center"/>
          </w:tcPr>
          <w:p w14:paraId="76E923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w:t>
            </w:r>
          </w:p>
        </w:tc>
        <w:tc>
          <w:tcPr>
            <w:tcW w:w="3797" w:type="dxa"/>
            <w:noWrap/>
            <w:vAlign w:val="center"/>
          </w:tcPr>
          <w:p w14:paraId="397C183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安全风险分级管理制度</w:t>
            </w:r>
          </w:p>
        </w:tc>
      </w:tr>
      <w:tr w14:paraId="44613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6B0902D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w:t>
            </w:r>
          </w:p>
        </w:tc>
        <w:tc>
          <w:tcPr>
            <w:tcW w:w="3569" w:type="dxa"/>
            <w:noWrap/>
            <w:vAlign w:val="center"/>
          </w:tcPr>
          <w:p w14:paraId="24C66D5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重大危险源管理制度</w:t>
            </w:r>
          </w:p>
        </w:tc>
        <w:tc>
          <w:tcPr>
            <w:tcW w:w="519" w:type="dxa"/>
            <w:noWrap/>
            <w:vAlign w:val="center"/>
          </w:tcPr>
          <w:p w14:paraId="6843964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p>
        </w:tc>
        <w:tc>
          <w:tcPr>
            <w:tcW w:w="3797" w:type="dxa"/>
            <w:noWrap/>
            <w:vAlign w:val="center"/>
          </w:tcPr>
          <w:p w14:paraId="2DF01AF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安全隐患排查和整改管理制度</w:t>
            </w:r>
          </w:p>
        </w:tc>
      </w:tr>
      <w:tr w14:paraId="67045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07EC6F6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7</w:t>
            </w:r>
          </w:p>
        </w:tc>
        <w:tc>
          <w:tcPr>
            <w:tcW w:w="3569" w:type="dxa"/>
            <w:noWrap/>
            <w:vAlign w:val="center"/>
          </w:tcPr>
          <w:p w14:paraId="760BBCB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职业危害防治责任制度</w:t>
            </w:r>
          </w:p>
        </w:tc>
        <w:tc>
          <w:tcPr>
            <w:tcW w:w="519" w:type="dxa"/>
            <w:noWrap/>
            <w:vAlign w:val="center"/>
          </w:tcPr>
          <w:p w14:paraId="5BB5991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8</w:t>
            </w:r>
          </w:p>
        </w:tc>
        <w:tc>
          <w:tcPr>
            <w:tcW w:w="3797" w:type="dxa"/>
            <w:noWrap/>
            <w:vAlign w:val="center"/>
          </w:tcPr>
          <w:p w14:paraId="0C0996F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职业病危害应急救援与管理制度</w:t>
            </w:r>
          </w:p>
        </w:tc>
      </w:tr>
      <w:tr w14:paraId="1B873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276F669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w:t>
            </w:r>
          </w:p>
        </w:tc>
        <w:tc>
          <w:tcPr>
            <w:tcW w:w="3569" w:type="dxa"/>
            <w:noWrap/>
            <w:vAlign w:val="center"/>
          </w:tcPr>
          <w:p w14:paraId="48AAF41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职业卫生“三同时”管理制度</w:t>
            </w:r>
          </w:p>
        </w:tc>
        <w:tc>
          <w:tcPr>
            <w:tcW w:w="519" w:type="dxa"/>
            <w:noWrap/>
            <w:vAlign w:val="center"/>
          </w:tcPr>
          <w:p w14:paraId="2F42E3D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10</w:t>
            </w:r>
          </w:p>
        </w:tc>
        <w:tc>
          <w:tcPr>
            <w:tcW w:w="3797" w:type="dxa"/>
            <w:noWrap/>
            <w:vAlign w:val="center"/>
          </w:tcPr>
          <w:p w14:paraId="66A14B1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 xml:space="preserve"> 职业危害告知制度</w:t>
            </w:r>
          </w:p>
        </w:tc>
      </w:tr>
      <w:tr w14:paraId="4E3C7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65E0E74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11</w:t>
            </w:r>
          </w:p>
        </w:tc>
        <w:tc>
          <w:tcPr>
            <w:tcW w:w="3569" w:type="dxa"/>
            <w:noWrap/>
            <w:vAlign w:val="center"/>
          </w:tcPr>
          <w:p w14:paraId="3455FA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职业危害申报制度</w:t>
            </w:r>
          </w:p>
        </w:tc>
        <w:tc>
          <w:tcPr>
            <w:tcW w:w="519" w:type="dxa"/>
            <w:noWrap/>
            <w:vAlign w:val="center"/>
          </w:tcPr>
          <w:p w14:paraId="1ACDA62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12</w:t>
            </w:r>
          </w:p>
        </w:tc>
        <w:tc>
          <w:tcPr>
            <w:tcW w:w="3797" w:type="dxa"/>
            <w:noWrap/>
            <w:vAlign w:val="center"/>
          </w:tcPr>
          <w:p w14:paraId="64A99AD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职业健康教育宣传培训制度</w:t>
            </w:r>
          </w:p>
        </w:tc>
      </w:tr>
      <w:tr w14:paraId="7A116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12E0379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13</w:t>
            </w:r>
          </w:p>
        </w:tc>
        <w:tc>
          <w:tcPr>
            <w:tcW w:w="3569" w:type="dxa"/>
            <w:noWrap/>
            <w:vAlign w:val="center"/>
          </w:tcPr>
          <w:p w14:paraId="3BDC9E3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职业危害防护设施维护检修制度</w:t>
            </w:r>
          </w:p>
        </w:tc>
        <w:tc>
          <w:tcPr>
            <w:tcW w:w="519" w:type="dxa"/>
            <w:noWrap/>
            <w:vAlign w:val="center"/>
          </w:tcPr>
          <w:p w14:paraId="6BCA05F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14</w:t>
            </w:r>
          </w:p>
        </w:tc>
        <w:tc>
          <w:tcPr>
            <w:tcW w:w="3797" w:type="dxa"/>
            <w:noWrap/>
            <w:vAlign w:val="center"/>
          </w:tcPr>
          <w:p w14:paraId="5051BA6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从业人员防护用品管理制度</w:t>
            </w:r>
          </w:p>
        </w:tc>
      </w:tr>
      <w:tr w14:paraId="019F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061EDD4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15</w:t>
            </w:r>
          </w:p>
        </w:tc>
        <w:tc>
          <w:tcPr>
            <w:tcW w:w="3569" w:type="dxa"/>
            <w:noWrap/>
            <w:vAlign w:val="center"/>
          </w:tcPr>
          <w:p w14:paraId="7C94C3C3">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业人员职业健康监护档案管理制度</w:t>
            </w:r>
          </w:p>
        </w:tc>
        <w:tc>
          <w:tcPr>
            <w:tcW w:w="519" w:type="dxa"/>
            <w:noWrap/>
            <w:vAlign w:val="center"/>
          </w:tcPr>
          <w:p w14:paraId="32DE05B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16</w:t>
            </w:r>
          </w:p>
        </w:tc>
        <w:tc>
          <w:tcPr>
            <w:tcW w:w="3797" w:type="dxa"/>
            <w:noWrap/>
            <w:vAlign w:val="center"/>
          </w:tcPr>
          <w:p w14:paraId="32DECBB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粉尘作业防护管理制度</w:t>
            </w:r>
          </w:p>
        </w:tc>
      </w:tr>
      <w:tr w14:paraId="61EDF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39D3360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17</w:t>
            </w:r>
          </w:p>
        </w:tc>
        <w:tc>
          <w:tcPr>
            <w:tcW w:w="3569" w:type="dxa"/>
            <w:noWrap/>
            <w:vAlign w:val="center"/>
          </w:tcPr>
          <w:p w14:paraId="5F0DF881">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噪声作业防护管理制度</w:t>
            </w:r>
          </w:p>
        </w:tc>
        <w:tc>
          <w:tcPr>
            <w:tcW w:w="519" w:type="dxa"/>
            <w:noWrap/>
            <w:vAlign w:val="center"/>
          </w:tcPr>
          <w:p w14:paraId="38A580B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18</w:t>
            </w:r>
          </w:p>
        </w:tc>
        <w:tc>
          <w:tcPr>
            <w:tcW w:w="3797" w:type="dxa"/>
            <w:noWrap/>
            <w:vAlign w:val="center"/>
          </w:tcPr>
          <w:p w14:paraId="090B54E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消防安全管理制度</w:t>
            </w:r>
          </w:p>
        </w:tc>
      </w:tr>
      <w:tr w14:paraId="7B826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38A9C92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19</w:t>
            </w:r>
          </w:p>
        </w:tc>
        <w:tc>
          <w:tcPr>
            <w:tcW w:w="3569" w:type="dxa"/>
            <w:noWrap/>
            <w:vAlign w:val="center"/>
          </w:tcPr>
          <w:p w14:paraId="2A51F333">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有限空间管理制度</w:t>
            </w:r>
          </w:p>
        </w:tc>
        <w:tc>
          <w:tcPr>
            <w:tcW w:w="519" w:type="dxa"/>
            <w:noWrap/>
            <w:vAlign w:val="center"/>
          </w:tcPr>
          <w:p w14:paraId="323071C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20</w:t>
            </w:r>
          </w:p>
        </w:tc>
        <w:tc>
          <w:tcPr>
            <w:tcW w:w="3797" w:type="dxa"/>
            <w:noWrap/>
            <w:vAlign w:val="center"/>
          </w:tcPr>
          <w:p w14:paraId="7D87F98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有限空间作业审批制度</w:t>
            </w:r>
          </w:p>
        </w:tc>
      </w:tr>
      <w:tr w14:paraId="5A4B0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7892AE0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21</w:t>
            </w:r>
          </w:p>
        </w:tc>
        <w:tc>
          <w:tcPr>
            <w:tcW w:w="3569" w:type="dxa"/>
            <w:noWrap/>
            <w:vAlign w:val="center"/>
          </w:tcPr>
          <w:p w14:paraId="6409DBD9">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有限空间作业培训管理制度</w:t>
            </w:r>
          </w:p>
        </w:tc>
        <w:tc>
          <w:tcPr>
            <w:tcW w:w="519" w:type="dxa"/>
            <w:noWrap/>
            <w:vAlign w:val="center"/>
          </w:tcPr>
          <w:p w14:paraId="0D5B6F5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22</w:t>
            </w:r>
          </w:p>
        </w:tc>
        <w:tc>
          <w:tcPr>
            <w:tcW w:w="3797" w:type="dxa"/>
            <w:noWrap/>
            <w:vAlign w:val="center"/>
          </w:tcPr>
          <w:p w14:paraId="188D6AE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生产设施安全管理制度</w:t>
            </w:r>
          </w:p>
        </w:tc>
      </w:tr>
      <w:tr w14:paraId="60686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796658F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23</w:t>
            </w:r>
          </w:p>
        </w:tc>
        <w:tc>
          <w:tcPr>
            <w:tcW w:w="3569" w:type="dxa"/>
            <w:noWrap/>
            <w:vAlign w:val="center"/>
          </w:tcPr>
          <w:p w14:paraId="6B7A99BD">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设备检维修作业安全管理制度</w:t>
            </w:r>
          </w:p>
        </w:tc>
        <w:tc>
          <w:tcPr>
            <w:tcW w:w="519" w:type="dxa"/>
            <w:noWrap/>
            <w:vAlign w:val="center"/>
          </w:tcPr>
          <w:p w14:paraId="769AC79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24</w:t>
            </w:r>
          </w:p>
        </w:tc>
        <w:tc>
          <w:tcPr>
            <w:tcW w:w="3797" w:type="dxa"/>
            <w:noWrap/>
            <w:vAlign w:val="center"/>
          </w:tcPr>
          <w:p w14:paraId="310BC7E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临时用电作业管理制度</w:t>
            </w:r>
          </w:p>
        </w:tc>
      </w:tr>
      <w:tr w14:paraId="7F3B6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6AA1F67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25</w:t>
            </w:r>
          </w:p>
        </w:tc>
        <w:tc>
          <w:tcPr>
            <w:tcW w:w="3569" w:type="dxa"/>
            <w:noWrap/>
            <w:vAlign w:val="center"/>
          </w:tcPr>
          <w:p w14:paraId="1C00B2F1">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叉车安全作业管理制度</w:t>
            </w:r>
          </w:p>
        </w:tc>
        <w:tc>
          <w:tcPr>
            <w:tcW w:w="519" w:type="dxa"/>
            <w:noWrap/>
            <w:vAlign w:val="center"/>
          </w:tcPr>
          <w:p w14:paraId="45CBEF9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26</w:t>
            </w:r>
          </w:p>
        </w:tc>
        <w:tc>
          <w:tcPr>
            <w:tcW w:w="3797" w:type="dxa"/>
            <w:noWrap/>
            <w:vAlign w:val="center"/>
          </w:tcPr>
          <w:p w14:paraId="00CE5B8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特种作业人员安全管理制度</w:t>
            </w:r>
          </w:p>
        </w:tc>
      </w:tr>
      <w:tr w14:paraId="68E18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0D251F1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27</w:t>
            </w:r>
          </w:p>
        </w:tc>
        <w:tc>
          <w:tcPr>
            <w:tcW w:w="3569" w:type="dxa"/>
            <w:noWrap/>
            <w:vAlign w:val="center"/>
          </w:tcPr>
          <w:p w14:paraId="7F5CD682">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变更管理制度</w:t>
            </w:r>
          </w:p>
        </w:tc>
        <w:tc>
          <w:tcPr>
            <w:tcW w:w="519" w:type="dxa"/>
            <w:noWrap/>
            <w:vAlign w:val="center"/>
          </w:tcPr>
          <w:p w14:paraId="6F6ADB3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28</w:t>
            </w:r>
          </w:p>
        </w:tc>
        <w:tc>
          <w:tcPr>
            <w:tcW w:w="3797" w:type="dxa"/>
            <w:noWrap/>
            <w:vAlign w:val="center"/>
          </w:tcPr>
          <w:p w14:paraId="30F8EE1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安全生产责任考核和奖惩制度</w:t>
            </w:r>
          </w:p>
        </w:tc>
      </w:tr>
      <w:tr w14:paraId="71C54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30721C5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29</w:t>
            </w:r>
          </w:p>
        </w:tc>
        <w:tc>
          <w:tcPr>
            <w:tcW w:w="3569" w:type="dxa"/>
            <w:noWrap/>
            <w:vAlign w:val="center"/>
          </w:tcPr>
          <w:p w14:paraId="2BD6770E">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安全责任考核制度</w:t>
            </w:r>
          </w:p>
        </w:tc>
        <w:tc>
          <w:tcPr>
            <w:tcW w:w="519" w:type="dxa"/>
            <w:noWrap/>
            <w:vAlign w:val="center"/>
          </w:tcPr>
          <w:p w14:paraId="0B469E5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cs="Times New Roman" w:eastAsiaTheme="minorEastAsia"/>
                <w:color w:val="000000" w:themeColor="text1"/>
                <w:sz w:val="24"/>
                <w:szCs w:val="24"/>
                <w:lang w:val="en-US" w:eastAsia="zh-CN" w:bidi="ar-SA"/>
                <w14:textFill>
                  <w14:solidFill>
                    <w14:schemeClr w14:val="tx1"/>
                  </w14:solidFill>
                </w14:textFill>
              </w:rPr>
              <w:t>30</w:t>
            </w:r>
          </w:p>
        </w:tc>
        <w:tc>
          <w:tcPr>
            <w:tcW w:w="3797" w:type="dxa"/>
            <w:noWrap/>
            <w:vAlign w:val="center"/>
          </w:tcPr>
          <w:p w14:paraId="1EC33A4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安全生产奖惩管理制度</w:t>
            </w:r>
          </w:p>
        </w:tc>
      </w:tr>
    </w:tbl>
    <w:p w14:paraId="32101EA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公司</w:t>
      </w:r>
      <w:r>
        <w:rPr>
          <w:rFonts w:hint="default" w:ascii="Times New Roman" w:hAnsi="Times New Roman" w:cs="Times New Roman"/>
          <w:color w:val="000000" w:themeColor="text1"/>
          <w:sz w:val="28"/>
          <w:szCs w:val="28"/>
          <w:lang w:eastAsia="zh-CN"/>
          <w14:textFill>
            <w14:solidFill>
              <w14:schemeClr w14:val="tx1"/>
            </w14:solidFill>
          </w14:textFill>
        </w:rPr>
        <w:t>结合本厂的实际情况，</w:t>
      </w:r>
      <w:r>
        <w:rPr>
          <w:rFonts w:hint="default" w:ascii="Times New Roman" w:hAnsi="Times New Roman" w:cs="Times New Roman"/>
          <w:color w:val="000000" w:themeColor="text1"/>
          <w:sz w:val="28"/>
          <w:szCs w:val="28"/>
          <w14:textFill>
            <w14:solidFill>
              <w14:schemeClr w14:val="tx1"/>
            </w14:solidFill>
          </w14:textFill>
        </w:rPr>
        <w:t>制定了各级、各岗位人员安全生产责任制，</w:t>
      </w:r>
      <w:r>
        <w:rPr>
          <w:rFonts w:hint="default" w:ascii="Times New Roman" w:hAnsi="Times New Roman" w:cs="Times New Roman"/>
          <w:color w:val="000000" w:themeColor="text1"/>
          <w:sz w:val="28"/>
          <w:szCs w:val="28"/>
          <w:lang w:eastAsia="zh-CN"/>
          <w14:textFill>
            <w14:solidFill>
              <w14:schemeClr w14:val="tx1"/>
            </w14:solidFill>
          </w14:textFill>
        </w:rPr>
        <w:t>具体详见表</w:t>
      </w:r>
      <w:r>
        <w:rPr>
          <w:rFonts w:hint="default" w:ascii="Times New Roman" w:hAnsi="Times New Roman" w:cs="Times New Roman"/>
          <w:color w:val="000000" w:themeColor="text1"/>
          <w:sz w:val="28"/>
          <w:szCs w:val="28"/>
          <w:lang w:val="en-US" w:eastAsia="zh-CN"/>
          <w14:textFill>
            <w14:solidFill>
              <w14:schemeClr w14:val="tx1"/>
            </w14:solidFill>
          </w14:textFill>
        </w:rPr>
        <w:t>2-6。</w:t>
      </w:r>
    </w:p>
    <w:p w14:paraId="41FACBAA">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表2-6 公司制定的主要安全生产责任制度一览表</w:t>
      </w:r>
    </w:p>
    <w:tbl>
      <w:tblPr>
        <w:tblStyle w:val="51"/>
        <w:tblW w:w="48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3302"/>
        <w:gridCol w:w="790"/>
        <w:gridCol w:w="3515"/>
      </w:tblGrid>
      <w:tr w14:paraId="0C2F8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40" w:type="dxa"/>
            <w:noWrap/>
            <w:vAlign w:val="center"/>
          </w:tcPr>
          <w:p w14:paraId="2D13636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序号</w:t>
            </w:r>
          </w:p>
        </w:tc>
        <w:tc>
          <w:tcPr>
            <w:tcW w:w="3302" w:type="dxa"/>
            <w:noWrap/>
            <w:vAlign w:val="center"/>
          </w:tcPr>
          <w:p w14:paraId="040013B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名</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称</w:t>
            </w:r>
          </w:p>
        </w:tc>
        <w:tc>
          <w:tcPr>
            <w:tcW w:w="790" w:type="dxa"/>
            <w:noWrap/>
            <w:vAlign w:val="center"/>
          </w:tcPr>
          <w:p w14:paraId="1A44367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序号</w:t>
            </w:r>
          </w:p>
        </w:tc>
        <w:tc>
          <w:tcPr>
            <w:tcW w:w="3515" w:type="dxa"/>
            <w:noWrap/>
            <w:vAlign w:val="center"/>
          </w:tcPr>
          <w:p w14:paraId="2E5F3A9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名</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称</w:t>
            </w:r>
          </w:p>
        </w:tc>
      </w:tr>
      <w:tr w14:paraId="51EEA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40" w:type="dxa"/>
            <w:noWrap/>
            <w:vAlign w:val="center"/>
          </w:tcPr>
          <w:p w14:paraId="4D3D1D8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w:t>
            </w:r>
          </w:p>
        </w:tc>
        <w:tc>
          <w:tcPr>
            <w:tcW w:w="3302" w:type="dxa"/>
            <w:noWrap/>
            <w:vAlign w:val="center"/>
          </w:tcPr>
          <w:p w14:paraId="6360207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主要负责人安全生产职责</w:t>
            </w:r>
          </w:p>
        </w:tc>
        <w:tc>
          <w:tcPr>
            <w:tcW w:w="790" w:type="dxa"/>
            <w:noWrap/>
            <w:vAlign w:val="center"/>
          </w:tcPr>
          <w:p w14:paraId="500388E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2</w:t>
            </w:r>
          </w:p>
        </w:tc>
        <w:tc>
          <w:tcPr>
            <w:tcW w:w="3515" w:type="dxa"/>
            <w:noWrap/>
            <w:vAlign w:val="center"/>
          </w:tcPr>
          <w:p w14:paraId="6DD8F66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安全员岗位安全生产职责</w:t>
            </w:r>
          </w:p>
        </w:tc>
      </w:tr>
      <w:tr w14:paraId="53B03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40" w:type="dxa"/>
            <w:noWrap/>
            <w:vAlign w:val="center"/>
          </w:tcPr>
          <w:p w14:paraId="2FE5CD3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3</w:t>
            </w:r>
          </w:p>
        </w:tc>
        <w:tc>
          <w:tcPr>
            <w:tcW w:w="3302" w:type="dxa"/>
            <w:noWrap/>
            <w:vAlign w:val="center"/>
          </w:tcPr>
          <w:p w14:paraId="3694AE7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fldChar w:fldCharType="begin"/>
            </w:r>
            <w:r>
              <w:rPr>
                <w:rFonts w:hint="eastAsia" w:ascii="宋体" w:hAnsi="宋体" w:eastAsia="宋体" w:cs="宋体"/>
                <w:color w:val="000000" w:themeColor="text1"/>
                <w:sz w:val="24"/>
                <w:szCs w:val="24"/>
                <w:lang w:val="en-US" w:eastAsia="zh-CN" w:bidi="ar-SA"/>
                <w14:textFill>
                  <w14:solidFill>
                    <w14:schemeClr w14:val="tx1"/>
                  </w14:solidFill>
                </w14:textFill>
              </w:rPr>
              <w:instrText xml:space="preserve"> HYPERLINK \l "_Toc529303447" </w:instrText>
            </w:r>
            <w:r>
              <w:rPr>
                <w:rFonts w:hint="eastAsia" w:ascii="宋体" w:hAnsi="宋体" w:eastAsia="宋体" w:cs="宋体"/>
                <w:color w:val="000000" w:themeColor="text1"/>
                <w:sz w:val="24"/>
                <w:szCs w:val="24"/>
                <w:lang w:val="en-US" w:eastAsia="zh-CN" w:bidi="ar-SA"/>
                <w14:textFill>
                  <w14:solidFill>
                    <w14:schemeClr w14:val="tx1"/>
                  </w14:solidFill>
                </w14:textFill>
              </w:rPr>
              <w:fldChar w:fldCharType="separate"/>
            </w:r>
            <w:r>
              <w:rPr>
                <w:rFonts w:hint="eastAsia" w:ascii="宋体" w:hAnsi="宋体" w:eastAsia="宋体" w:cs="宋体"/>
                <w:color w:val="000000" w:themeColor="text1"/>
                <w:sz w:val="24"/>
                <w:szCs w:val="24"/>
                <w:lang w:val="en-US" w:eastAsia="zh-CN" w:bidi="ar-SA"/>
                <w14:textFill>
                  <w14:solidFill>
                    <w14:schemeClr w14:val="tx1"/>
                  </w14:solidFill>
                </w14:textFill>
              </w:rPr>
              <w:t>班组长安全生产安全职责</w:t>
            </w:r>
            <w:r>
              <w:rPr>
                <w:rFonts w:hint="eastAsia" w:ascii="宋体" w:hAnsi="宋体" w:eastAsia="宋体" w:cs="宋体"/>
                <w:color w:val="000000" w:themeColor="text1"/>
                <w:sz w:val="24"/>
                <w:szCs w:val="24"/>
                <w:lang w:val="en-US" w:eastAsia="zh-CN" w:bidi="ar-SA"/>
                <w14:textFill>
                  <w14:solidFill>
                    <w14:schemeClr w14:val="tx1"/>
                  </w14:solidFill>
                </w14:textFill>
              </w:rPr>
              <w:tab/>
            </w:r>
            <w:r>
              <w:rPr>
                <w:rFonts w:hint="eastAsia" w:ascii="宋体" w:hAnsi="宋体" w:eastAsia="宋体" w:cs="宋体"/>
                <w:color w:val="000000" w:themeColor="text1"/>
                <w:sz w:val="24"/>
                <w:szCs w:val="24"/>
                <w:lang w:val="en-US" w:eastAsia="zh-CN" w:bidi="ar-SA"/>
                <w14:textFill>
                  <w14:solidFill>
                    <w14:schemeClr w14:val="tx1"/>
                  </w14:solidFill>
                </w14:textFill>
              </w:rPr>
              <w:fldChar w:fldCharType="end"/>
            </w:r>
          </w:p>
        </w:tc>
        <w:tc>
          <w:tcPr>
            <w:tcW w:w="790" w:type="dxa"/>
            <w:noWrap/>
            <w:vAlign w:val="center"/>
          </w:tcPr>
          <w:p w14:paraId="7B3FDEB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4</w:t>
            </w:r>
          </w:p>
        </w:tc>
        <w:tc>
          <w:tcPr>
            <w:tcW w:w="3515" w:type="dxa"/>
            <w:noWrap/>
            <w:vAlign w:val="center"/>
          </w:tcPr>
          <w:p w14:paraId="5E3CDED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fldChar w:fldCharType="begin"/>
            </w:r>
            <w:r>
              <w:rPr>
                <w:rFonts w:hint="eastAsia" w:ascii="宋体" w:hAnsi="宋体" w:eastAsia="宋体" w:cs="宋体"/>
                <w:color w:val="000000" w:themeColor="text1"/>
                <w:sz w:val="24"/>
                <w:szCs w:val="24"/>
                <w:lang w:val="en-US" w:eastAsia="zh-CN" w:bidi="ar-SA"/>
                <w14:textFill>
                  <w14:solidFill>
                    <w14:schemeClr w14:val="tx1"/>
                  </w14:solidFill>
                </w14:textFill>
              </w:rPr>
              <w:instrText xml:space="preserve"> HYPERLINK \l "_Toc529303448" </w:instrText>
            </w:r>
            <w:r>
              <w:rPr>
                <w:rFonts w:hint="eastAsia" w:ascii="宋体" w:hAnsi="宋体" w:eastAsia="宋体" w:cs="宋体"/>
                <w:color w:val="000000" w:themeColor="text1"/>
                <w:sz w:val="24"/>
                <w:szCs w:val="24"/>
                <w:lang w:val="en-US" w:eastAsia="zh-CN" w:bidi="ar-SA"/>
                <w14:textFill>
                  <w14:solidFill>
                    <w14:schemeClr w14:val="tx1"/>
                  </w14:solidFill>
                </w14:textFill>
              </w:rPr>
              <w:fldChar w:fldCharType="separate"/>
            </w:r>
            <w:r>
              <w:rPr>
                <w:rFonts w:hint="eastAsia" w:ascii="宋体" w:hAnsi="宋体" w:eastAsia="宋体" w:cs="宋体"/>
                <w:color w:val="000000" w:themeColor="text1"/>
                <w:sz w:val="24"/>
                <w:szCs w:val="24"/>
                <w:lang w:val="en-US" w:eastAsia="zh-CN" w:bidi="ar-SA"/>
                <w14:textFill>
                  <w14:solidFill>
                    <w14:schemeClr w14:val="tx1"/>
                  </w14:solidFill>
                </w14:textFill>
              </w:rPr>
              <w:t>员工安全生产安全职责</w:t>
            </w:r>
          </w:p>
          <w:p w14:paraId="7AB5382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fldChar w:fldCharType="end"/>
            </w:r>
          </w:p>
        </w:tc>
      </w:tr>
      <w:tr w14:paraId="024A1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40" w:type="dxa"/>
            <w:noWrap/>
            <w:vAlign w:val="center"/>
          </w:tcPr>
          <w:p w14:paraId="3CFCC33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5</w:t>
            </w:r>
          </w:p>
        </w:tc>
        <w:tc>
          <w:tcPr>
            <w:tcW w:w="3302" w:type="dxa"/>
            <w:noWrap/>
            <w:vAlign w:val="center"/>
          </w:tcPr>
          <w:p w14:paraId="3539003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破碎岗安全生产职责</w:t>
            </w:r>
          </w:p>
        </w:tc>
        <w:tc>
          <w:tcPr>
            <w:tcW w:w="790" w:type="dxa"/>
            <w:noWrap/>
            <w:vAlign w:val="center"/>
          </w:tcPr>
          <w:p w14:paraId="03C5A90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6</w:t>
            </w:r>
          </w:p>
        </w:tc>
        <w:tc>
          <w:tcPr>
            <w:tcW w:w="3515" w:type="dxa"/>
            <w:noWrap/>
            <w:vAlign w:val="center"/>
          </w:tcPr>
          <w:p w14:paraId="548890D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切还岗安全生产职责</w:t>
            </w:r>
          </w:p>
        </w:tc>
      </w:tr>
      <w:tr w14:paraId="5BE13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40" w:type="dxa"/>
            <w:noWrap/>
            <w:vAlign w:val="center"/>
          </w:tcPr>
          <w:p w14:paraId="43298B6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7</w:t>
            </w:r>
          </w:p>
        </w:tc>
        <w:tc>
          <w:tcPr>
            <w:tcW w:w="3302" w:type="dxa"/>
            <w:noWrap/>
            <w:vAlign w:val="center"/>
          </w:tcPr>
          <w:p w14:paraId="38CB047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制砖岗安全生产职责</w:t>
            </w:r>
          </w:p>
        </w:tc>
        <w:tc>
          <w:tcPr>
            <w:tcW w:w="790" w:type="dxa"/>
            <w:noWrap/>
            <w:vAlign w:val="center"/>
          </w:tcPr>
          <w:p w14:paraId="260B701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8</w:t>
            </w:r>
          </w:p>
        </w:tc>
        <w:tc>
          <w:tcPr>
            <w:tcW w:w="3515" w:type="dxa"/>
            <w:noWrap/>
            <w:vAlign w:val="center"/>
          </w:tcPr>
          <w:p w14:paraId="43D6413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装、出窑岗安全生产职责</w:t>
            </w:r>
          </w:p>
        </w:tc>
      </w:tr>
      <w:tr w14:paraId="2378C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40" w:type="dxa"/>
            <w:noWrap/>
            <w:vAlign w:val="center"/>
          </w:tcPr>
          <w:p w14:paraId="4DB37E1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9</w:t>
            </w:r>
          </w:p>
        </w:tc>
        <w:tc>
          <w:tcPr>
            <w:tcW w:w="3302" w:type="dxa"/>
            <w:noWrap/>
            <w:vAlign w:val="center"/>
          </w:tcPr>
          <w:p w14:paraId="44C18BD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摆渡岗安全生产职责</w:t>
            </w:r>
          </w:p>
        </w:tc>
        <w:tc>
          <w:tcPr>
            <w:tcW w:w="790" w:type="dxa"/>
            <w:noWrap/>
            <w:vAlign w:val="center"/>
          </w:tcPr>
          <w:p w14:paraId="28BD12E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10</w:t>
            </w:r>
          </w:p>
        </w:tc>
        <w:tc>
          <w:tcPr>
            <w:tcW w:w="3515" w:type="dxa"/>
            <w:noWrap/>
            <w:vAlign w:val="center"/>
          </w:tcPr>
          <w:p w14:paraId="044BCC2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机修岗安全生产职责</w:t>
            </w:r>
          </w:p>
        </w:tc>
      </w:tr>
      <w:tr w14:paraId="78FF8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40" w:type="dxa"/>
            <w:noWrap/>
            <w:vAlign w:val="center"/>
          </w:tcPr>
          <w:p w14:paraId="1CE927E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11</w:t>
            </w:r>
          </w:p>
        </w:tc>
        <w:tc>
          <w:tcPr>
            <w:tcW w:w="3302" w:type="dxa"/>
            <w:noWrap/>
            <w:vAlign w:val="center"/>
          </w:tcPr>
          <w:p w14:paraId="1469BDD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电工安全生产职责</w:t>
            </w:r>
          </w:p>
        </w:tc>
        <w:tc>
          <w:tcPr>
            <w:tcW w:w="790" w:type="dxa"/>
            <w:noWrap/>
            <w:vAlign w:val="center"/>
          </w:tcPr>
          <w:p w14:paraId="7CD3175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12</w:t>
            </w:r>
          </w:p>
        </w:tc>
        <w:tc>
          <w:tcPr>
            <w:tcW w:w="3515" w:type="dxa"/>
            <w:noWrap/>
            <w:vAlign w:val="center"/>
          </w:tcPr>
          <w:p w14:paraId="68B8AF7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装载机司机安全生产职责</w:t>
            </w:r>
          </w:p>
        </w:tc>
      </w:tr>
      <w:tr w14:paraId="0A836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40" w:type="dxa"/>
            <w:noWrap/>
            <w:vAlign w:val="center"/>
          </w:tcPr>
          <w:p w14:paraId="5A5FD28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13</w:t>
            </w:r>
          </w:p>
        </w:tc>
        <w:tc>
          <w:tcPr>
            <w:tcW w:w="7607" w:type="dxa"/>
            <w:gridSpan w:val="3"/>
            <w:noWrap/>
            <w:vAlign w:val="center"/>
          </w:tcPr>
          <w:p w14:paraId="2539C71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叉车司机安全生产职责</w:t>
            </w:r>
          </w:p>
        </w:tc>
      </w:tr>
    </w:tbl>
    <w:p w14:paraId="44A544A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color w:val="000000" w:themeColor="text1"/>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公司根据工艺技术要求和工作特点，</w:t>
      </w:r>
      <w:r>
        <w:rPr>
          <w:rFonts w:hint="default" w:ascii="Times New Roman" w:hAnsi="Times New Roman" w:cs="Times New Roman"/>
          <w:color w:val="000000" w:themeColor="text1"/>
          <w:sz w:val="28"/>
          <w:szCs w:val="28"/>
          <w:lang w:eastAsia="zh-CN"/>
          <w14:textFill>
            <w14:solidFill>
              <w14:schemeClr w14:val="tx1"/>
            </w14:solidFill>
          </w14:textFill>
        </w:rPr>
        <w:t>结合本厂的实际情况，</w:t>
      </w:r>
      <w:r>
        <w:rPr>
          <w:rFonts w:hint="default" w:ascii="Times New Roman" w:hAnsi="Times New Roman" w:cs="Times New Roman"/>
          <w:color w:val="000000" w:themeColor="text1"/>
          <w:sz w:val="28"/>
          <w:szCs w:val="28"/>
          <w14:textFill>
            <w14:solidFill>
              <w14:schemeClr w14:val="tx1"/>
            </w14:solidFill>
          </w14:textFill>
        </w:rPr>
        <w:t>制定</w:t>
      </w:r>
      <w:r>
        <w:rPr>
          <w:rFonts w:hint="default" w:ascii="Times New Roman" w:hAnsi="Times New Roman" w:cs="Times New Roman"/>
          <w:color w:val="000000" w:themeColor="text1"/>
          <w:sz w:val="28"/>
          <w:szCs w:val="28"/>
          <w:lang w:eastAsia="zh-CN"/>
          <w14:textFill>
            <w14:solidFill>
              <w14:schemeClr w14:val="tx1"/>
            </w14:solidFill>
          </w14:textFill>
        </w:rPr>
        <w:t>了</w:t>
      </w:r>
      <w:r>
        <w:rPr>
          <w:rFonts w:hint="default" w:ascii="Times New Roman" w:hAnsi="Times New Roman" w:cs="Times New Roman"/>
          <w:color w:val="000000" w:themeColor="text1"/>
          <w:sz w:val="28"/>
          <w:szCs w:val="28"/>
          <w14:textFill>
            <w14:solidFill>
              <w14:schemeClr w14:val="tx1"/>
            </w14:solidFill>
          </w14:textFill>
        </w:rPr>
        <w:t>各岗位、各工种的安全操作规程，对员工在生产作业时正确安全操作做了详细规定</w:t>
      </w:r>
      <w:r>
        <w:rPr>
          <w:rFonts w:hint="default" w:ascii="Times New Roman" w:hAnsi="Times New Roman" w:cs="Times New Roman"/>
          <w:color w:val="000000" w:themeColor="text1"/>
          <w:sz w:val="28"/>
          <w:szCs w:val="28"/>
          <w:lang w:eastAsia="zh-CN"/>
          <w14:textFill>
            <w14:solidFill>
              <w14:schemeClr w14:val="tx1"/>
            </w14:solidFill>
          </w14:textFill>
        </w:rPr>
        <w:t>，具体详见表</w:t>
      </w:r>
      <w:r>
        <w:rPr>
          <w:rFonts w:hint="default" w:ascii="Times New Roman" w:hAnsi="Times New Roman" w:cs="Times New Roman"/>
          <w:color w:val="000000" w:themeColor="text1"/>
          <w:sz w:val="28"/>
          <w:szCs w:val="28"/>
          <w:lang w:val="en-US" w:eastAsia="zh-CN"/>
          <w14:textFill>
            <w14:solidFill>
              <w14:schemeClr w14:val="tx1"/>
            </w14:solidFill>
          </w14:textFill>
        </w:rPr>
        <w:t>2-7。</w:t>
      </w:r>
    </w:p>
    <w:p w14:paraId="1D3622AD">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表2-7 公司制定的主要岗位安全操作规程一览表</w:t>
      </w:r>
    </w:p>
    <w:tbl>
      <w:tblPr>
        <w:tblStyle w:val="5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3588"/>
        <w:gridCol w:w="852"/>
        <w:gridCol w:w="3508"/>
      </w:tblGrid>
      <w:tr w14:paraId="7A259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72" w:type="dxa"/>
            <w:noWrap/>
            <w:vAlign w:val="center"/>
          </w:tcPr>
          <w:p w14:paraId="11C8F02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bCs/>
                <w:color w:val="000000" w:themeColor="text1"/>
                <w:sz w:val="21"/>
                <w:szCs w:val="21"/>
                <w:lang w:val="en-US" w:eastAsia="zh-CN" w:bidi="ar-SA"/>
                <w14:textFill>
                  <w14:solidFill>
                    <w14:schemeClr w14:val="tx1"/>
                  </w14:solidFill>
                </w14:textFill>
              </w:rPr>
            </w:pPr>
            <w:r>
              <w:rPr>
                <w:rFonts w:hint="default" w:ascii="宋体" w:hAnsi="宋体" w:eastAsia="宋体" w:cs="宋体"/>
                <w:b/>
                <w:bCs/>
                <w:color w:val="000000" w:themeColor="text1"/>
                <w:sz w:val="21"/>
                <w:szCs w:val="21"/>
                <w:lang w:val="en-US" w:eastAsia="zh-CN" w:bidi="ar-SA"/>
                <w14:textFill>
                  <w14:solidFill>
                    <w14:schemeClr w14:val="tx1"/>
                  </w14:solidFill>
                </w14:textFill>
              </w:rPr>
              <w:t>序号</w:t>
            </w:r>
          </w:p>
        </w:tc>
        <w:tc>
          <w:tcPr>
            <w:tcW w:w="3588" w:type="dxa"/>
            <w:noWrap/>
            <w:vAlign w:val="center"/>
          </w:tcPr>
          <w:p w14:paraId="038926F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bCs/>
                <w:color w:val="000000" w:themeColor="text1"/>
                <w:sz w:val="21"/>
                <w:szCs w:val="21"/>
                <w:lang w:val="en-US" w:eastAsia="zh-CN" w:bidi="ar-SA"/>
                <w14:textFill>
                  <w14:solidFill>
                    <w14:schemeClr w14:val="tx1"/>
                  </w14:solidFill>
                </w14:textFill>
              </w:rPr>
            </w:pPr>
            <w:r>
              <w:rPr>
                <w:rFonts w:hint="default" w:ascii="宋体" w:hAnsi="宋体" w:eastAsia="宋体" w:cs="宋体"/>
                <w:b/>
                <w:bCs/>
                <w:color w:val="000000" w:themeColor="text1"/>
                <w:sz w:val="21"/>
                <w:szCs w:val="21"/>
                <w:lang w:val="en-US" w:eastAsia="zh-CN" w:bidi="ar-SA"/>
                <w14:textFill>
                  <w14:solidFill>
                    <w14:schemeClr w14:val="tx1"/>
                  </w14:solidFill>
                </w14:textFill>
              </w:rPr>
              <w:t>名   称</w:t>
            </w:r>
          </w:p>
        </w:tc>
        <w:tc>
          <w:tcPr>
            <w:tcW w:w="852" w:type="dxa"/>
            <w:noWrap/>
            <w:vAlign w:val="center"/>
          </w:tcPr>
          <w:p w14:paraId="1F22607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bCs/>
                <w:color w:val="000000" w:themeColor="text1"/>
                <w:sz w:val="21"/>
                <w:szCs w:val="21"/>
                <w:lang w:val="en-US" w:eastAsia="zh-CN" w:bidi="ar-SA"/>
                <w14:textFill>
                  <w14:solidFill>
                    <w14:schemeClr w14:val="tx1"/>
                  </w14:solidFill>
                </w14:textFill>
              </w:rPr>
            </w:pPr>
            <w:r>
              <w:rPr>
                <w:rFonts w:hint="default" w:ascii="宋体" w:hAnsi="宋体" w:eastAsia="宋体" w:cs="宋体"/>
                <w:b/>
                <w:bCs/>
                <w:color w:val="000000" w:themeColor="text1"/>
                <w:sz w:val="21"/>
                <w:szCs w:val="21"/>
                <w:lang w:val="en-US" w:eastAsia="zh-CN" w:bidi="ar-SA"/>
                <w14:textFill>
                  <w14:solidFill>
                    <w14:schemeClr w14:val="tx1"/>
                  </w14:solidFill>
                </w14:textFill>
              </w:rPr>
              <w:t>序号</w:t>
            </w:r>
          </w:p>
        </w:tc>
        <w:tc>
          <w:tcPr>
            <w:tcW w:w="3508" w:type="dxa"/>
            <w:noWrap/>
            <w:vAlign w:val="center"/>
          </w:tcPr>
          <w:p w14:paraId="020559D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bCs/>
                <w:color w:val="000000" w:themeColor="text1"/>
                <w:sz w:val="21"/>
                <w:szCs w:val="21"/>
                <w:lang w:val="en-US" w:eastAsia="zh-CN" w:bidi="ar-SA"/>
                <w14:textFill>
                  <w14:solidFill>
                    <w14:schemeClr w14:val="tx1"/>
                  </w14:solidFill>
                </w14:textFill>
              </w:rPr>
            </w:pPr>
            <w:r>
              <w:rPr>
                <w:rFonts w:hint="default" w:ascii="宋体" w:hAnsi="宋体" w:eastAsia="宋体" w:cs="宋体"/>
                <w:b/>
                <w:bCs/>
                <w:color w:val="000000" w:themeColor="text1"/>
                <w:sz w:val="21"/>
                <w:szCs w:val="21"/>
                <w:lang w:val="en-US" w:eastAsia="zh-CN" w:bidi="ar-SA"/>
                <w14:textFill>
                  <w14:solidFill>
                    <w14:schemeClr w14:val="tx1"/>
                  </w14:solidFill>
                </w14:textFill>
              </w:rPr>
              <w:t>名   称</w:t>
            </w:r>
          </w:p>
        </w:tc>
      </w:tr>
      <w:tr w14:paraId="5F81C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72" w:type="dxa"/>
            <w:noWrap/>
            <w:vAlign w:val="center"/>
          </w:tcPr>
          <w:p w14:paraId="5FF5E18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default" w:ascii="宋体" w:hAnsi="宋体" w:eastAsia="宋体" w:cs="宋体"/>
                <w:color w:val="000000" w:themeColor="text1"/>
                <w:sz w:val="21"/>
                <w:szCs w:val="21"/>
                <w:lang w:val="en-US" w:eastAsia="zh-CN" w:bidi="ar-SA"/>
                <w14:textFill>
                  <w14:solidFill>
                    <w14:schemeClr w14:val="tx1"/>
                  </w14:solidFill>
                </w14:textFill>
              </w:rPr>
              <w:t>1</w:t>
            </w:r>
          </w:p>
        </w:tc>
        <w:tc>
          <w:tcPr>
            <w:tcW w:w="3588" w:type="dxa"/>
            <w:noWrap/>
            <w:vAlign w:val="center"/>
          </w:tcPr>
          <w:p w14:paraId="79ED032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default" w:ascii="宋体" w:hAnsi="宋体" w:eastAsia="宋体" w:cs="宋体"/>
                <w:color w:val="000000" w:themeColor="text1"/>
                <w:sz w:val="21"/>
                <w:szCs w:val="21"/>
                <w:lang w:val="en-US" w:eastAsia="zh-CN" w:bidi="ar-SA"/>
                <w14:textFill>
                  <w14:solidFill>
                    <w14:schemeClr w14:val="tx1"/>
                  </w14:solidFill>
                </w14:textFill>
              </w:rPr>
              <w:t>装载机</w:t>
            </w:r>
            <w:r>
              <w:rPr>
                <w:rFonts w:hint="eastAsia" w:ascii="宋体" w:hAnsi="宋体" w:eastAsia="宋体" w:cs="宋体"/>
                <w:color w:val="000000" w:themeColor="text1"/>
                <w:sz w:val="21"/>
                <w:szCs w:val="21"/>
                <w:lang w:val="en-US" w:eastAsia="zh-CN" w:bidi="ar-SA"/>
                <w14:textFill>
                  <w14:solidFill>
                    <w14:schemeClr w14:val="tx1"/>
                  </w14:solidFill>
                </w14:textFill>
              </w:rPr>
              <w:t>安全</w:t>
            </w:r>
            <w:r>
              <w:rPr>
                <w:rFonts w:hint="default" w:ascii="宋体" w:hAnsi="宋体" w:eastAsia="宋体" w:cs="宋体"/>
                <w:color w:val="000000" w:themeColor="text1"/>
                <w:sz w:val="21"/>
                <w:szCs w:val="21"/>
                <w:lang w:val="en-US" w:eastAsia="zh-CN" w:bidi="ar-SA"/>
                <w14:textFill>
                  <w14:solidFill>
                    <w14:schemeClr w14:val="tx1"/>
                  </w14:solidFill>
                </w14:textFill>
              </w:rPr>
              <w:t>操作规程</w:t>
            </w:r>
          </w:p>
        </w:tc>
        <w:tc>
          <w:tcPr>
            <w:tcW w:w="852" w:type="dxa"/>
            <w:noWrap/>
            <w:vAlign w:val="center"/>
          </w:tcPr>
          <w:p w14:paraId="115EC26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00" w:themeColor="text1"/>
                <w:sz w:val="21"/>
                <w:szCs w:val="21"/>
                <w:lang w:val="en-US" w:eastAsia="zh-CN" w:bidi="ar-SA"/>
                <w14:textFill>
                  <w14:solidFill>
                    <w14:schemeClr w14:val="tx1"/>
                  </w14:solidFill>
                </w14:textFill>
              </w:rPr>
              <w:t>2</w:t>
            </w:r>
          </w:p>
        </w:tc>
        <w:tc>
          <w:tcPr>
            <w:tcW w:w="3508" w:type="dxa"/>
            <w:noWrap/>
            <w:vAlign w:val="center"/>
          </w:tcPr>
          <w:p w14:paraId="5DF90CD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破碎机</w:t>
            </w:r>
            <w:r>
              <w:rPr>
                <w:rFonts w:hint="default" w:ascii="宋体" w:hAnsi="宋体" w:eastAsia="宋体" w:cs="宋体"/>
                <w:color w:val="000000" w:themeColor="text1"/>
                <w:sz w:val="21"/>
                <w:szCs w:val="21"/>
                <w:lang w:val="en-US" w:eastAsia="zh-CN" w:bidi="ar-SA"/>
                <w14:textFill>
                  <w14:solidFill>
                    <w14:schemeClr w14:val="tx1"/>
                  </w14:solidFill>
                </w14:textFill>
              </w:rPr>
              <w:t>安全操作规程</w:t>
            </w:r>
          </w:p>
        </w:tc>
      </w:tr>
      <w:tr w14:paraId="607F2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72" w:type="dxa"/>
            <w:noWrap/>
            <w:vAlign w:val="center"/>
          </w:tcPr>
          <w:p w14:paraId="4572129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00" w:themeColor="text1"/>
                <w:sz w:val="21"/>
                <w:szCs w:val="21"/>
                <w:lang w:val="en-US" w:eastAsia="zh-CN" w:bidi="ar-SA"/>
                <w14:textFill>
                  <w14:solidFill>
                    <w14:schemeClr w14:val="tx1"/>
                  </w14:solidFill>
                </w14:textFill>
              </w:rPr>
              <w:t>3</w:t>
            </w:r>
          </w:p>
        </w:tc>
        <w:tc>
          <w:tcPr>
            <w:tcW w:w="3588" w:type="dxa"/>
            <w:noWrap/>
            <w:vAlign w:val="center"/>
          </w:tcPr>
          <w:p w14:paraId="3CEF764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default" w:ascii="宋体" w:hAnsi="宋体" w:eastAsia="宋体" w:cs="宋体"/>
                <w:color w:val="000000" w:themeColor="text1"/>
                <w:sz w:val="21"/>
                <w:szCs w:val="21"/>
                <w:lang w:val="en-US" w:eastAsia="zh-CN" w:bidi="ar-SA"/>
                <w14:textFill>
                  <w14:solidFill>
                    <w14:schemeClr w14:val="tx1"/>
                  </w14:solidFill>
                </w14:textFill>
              </w:rPr>
              <w:t>皮带机安全操作规程</w:t>
            </w:r>
          </w:p>
        </w:tc>
        <w:tc>
          <w:tcPr>
            <w:tcW w:w="852" w:type="dxa"/>
            <w:noWrap/>
            <w:vAlign w:val="center"/>
          </w:tcPr>
          <w:p w14:paraId="184E5F5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00" w:themeColor="text1"/>
                <w:sz w:val="21"/>
                <w:szCs w:val="21"/>
                <w:lang w:val="en-US" w:eastAsia="zh-CN" w:bidi="ar-SA"/>
                <w14:textFill>
                  <w14:solidFill>
                    <w14:schemeClr w14:val="tx1"/>
                  </w14:solidFill>
                </w14:textFill>
              </w:rPr>
              <w:t>4</w:t>
            </w:r>
          </w:p>
        </w:tc>
        <w:tc>
          <w:tcPr>
            <w:tcW w:w="3508" w:type="dxa"/>
            <w:noWrap/>
            <w:vAlign w:val="center"/>
          </w:tcPr>
          <w:p w14:paraId="0CB0179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给料机</w:t>
            </w:r>
            <w:r>
              <w:rPr>
                <w:rFonts w:hint="default" w:ascii="宋体" w:hAnsi="宋体" w:eastAsia="宋体" w:cs="宋体"/>
                <w:color w:val="000000" w:themeColor="text1"/>
                <w:sz w:val="21"/>
                <w:szCs w:val="21"/>
                <w:lang w:val="en-US" w:eastAsia="zh-CN" w:bidi="ar-SA"/>
                <w14:textFill>
                  <w14:solidFill>
                    <w14:schemeClr w14:val="tx1"/>
                  </w14:solidFill>
                </w14:textFill>
              </w:rPr>
              <w:t>安全操作规程</w:t>
            </w:r>
          </w:p>
        </w:tc>
      </w:tr>
      <w:tr w14:paraId="28684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72" w:type="dxa"/>
            <w:noWrap/>
            <w:vAlign w:val="center"/>
          </w:tcPr>
          <w:p w14:paraId="086B015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00" w:themeColor="text1"/>
                <w:sz w:val="21"/>
                <w:szCs w:val="21"/>
                <w:lang w:val="en-US" w:eastAsia="zh-CN" w:bidi="ar-SA"/>
                <w14:textFill>
                  <w14:solidFill>
                    <w14:schemeClr w14:val="tx1"/>
                  </w14:solidFill>
                </w14:textFill>
              </w:rPr>
              <w:t>5</w:t>
            </w:r>
          </w:p>
        </w:tc>
        <w:tc>
          <w:tcPr>
            <w:tcW w:w="3588" w:type="dxa"/>
            <w:noWrap/>
            <w:vAlign w:val="center"/>
          </w:tcPr>
          <w:p w14:paraId="6434D19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制砖机岗位</w:t>
            </w:r>
            <w:r>
              <w:rPr>
                <w:rFonts w:hint="default" w:ascii="宋体" w:hAnsi="宋体" w:eastAsia="宋体" w:cs="宋体"/>
                <w:color w:val="000000" w:themeColor="text1"/>
                <w:sz w:val="21"/>
                <w:szCs w:val="21"/>
                <w:lang w:val="en-US" w:eastAsia="zh-CN" w:bidi="ar-SA"/>
                <w14:textFill>
                  <w14:solidFill>
                    <w14:schemeClr w14:val="tx1"/>
                  </w14:solidFill>
                </w14:textFill>
              </w:rPr>
              <w:t>安全操作规程</w:t>
            </w:r>
          </w:p>
        </w:tc>
        <w:tc>
          <w:tcPr>
            <w:tcW w:w="852" w:type="dxa"/>
            <w:noWrap/>
            <w:vAlign w:val="center"/>
          </w:tcPr>
          <w:p w14:paraId="66A938B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00" w:themeColor="text1"/>
                <w:sz w:val="21"/>
                <w:szCs w:val="21"/>
                <w:lang w:val="en-US" w:eastAsia="zh-CN" w:bidi="ar-SA"/>
                <w14:textFill>
                  <w14:solidFill>
                    <w14:schemeClr w14:val="tx1"/>
                  </w14:solidFill>
                </w14:textFill>
              </w:rPr>
              <w:t>6</w:t>
            </w:r>
          </w:p>
        </w:tc>
        <w:tc>
          <w:tcPr>
            <w:tcW w:w="3508" w:type="dxa"/>
            <w:noWrap/>
            <w:vAlign w:val="center"/>
          </w:tcPr>
          <w:p w14:paraId="0DDD89F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default" w:ascii="宋体" w:hAnsi="宋体" w:eastAsia="宋体" w:cs="宋体"/>
                <w:color w:val="000000" w:themeColor="text1"/>
                <w:sz w:val="21"/>
                <w:szCs w:val="21"/>
                <w:lang w:val="en-US" w:eastAsia="zh-CN" w:bidi="ar-SA"/>
                <w14:textFill>
                  <w14:solidFill>
                    <w14:schemeClr w14:val="tx1"/>
                  </w14:solidFill>
                </w14:textFill>
              </w:rPr>
              <w:t>码胚机岗位安全操作规程</w:t>
            </w:r>
          </w:p>
        </w:tc>
      </w:tr>
      <w:tr w14:paraId="1A7DF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72" w:type="dxa"/>
            <w:noWrap/>
            <w:vAlign w:val="center"/>
          </w:tcPr>
          <w:p w14:paraId="6EC33F7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bookmarkStart w:id="231" w:name="_Toc6048"/>
            <w:bookmarkStart w:id="232" w:name="_Toc17375"/>
            <w:r>
              <w:rPr>
                <w:rFonts w:hint="eastAsia" w:hAnsi="宋体" w:cs="宋体"/>
                <w:color w:val="000000" w:themeColor="text1"/>
                <w:sz w:val="21"/>
                <w:szCs w:val="21"/>
                <w:lang w:val="en-US" w:eastAsia="zh-CN" w:bidi="ar-SA"/>
                <w14:textFill>
                  <w14:solidFill>
                    <w14:schemeClr w14:val="tx1"/>
                  </w14:solidFill>
                </w14:textFill>
              </w:rPr>
              <w:t>7</w:t>
            </w:r>
          </w:p>
        </w:tc>
        <w:tc>
          <w:tcPr>
            <w:tcW w:w="3588" w:type="dxa"/>
            <w:noWrap/>
            <w:vAlign w:val="center"/>
          </w:tcPr>
          <w:p w14:paraId="2B417A7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default" w:ascii="宋体" w:hAnsi="宋体" w:eastAsia="宋体" w:cs="宋体"/>
                <w:color w:val="000000" w:themeColor="text1"/>
                <w:sz w:val="21"/>
                <w:szCs w:val="21"/>
                <w:lang w:val="en-US" w:eastAsia="zh-CN" w:bidi="ar-SA"/>
                <w14:textFill>
                  <w14:solidFill>
                    <w14:schemeClr w14:val="tx1"/>
                  </w14:solidFill>
                </w14:textFill>
              </w:rPr>
              <w:t>电焊工安全操作规程</w:t>
            </w:r>
          </w:p>
        </w:tc>
        <w:tc>
          <w:tcPr>
            <w:tcW w:w="852" w:type="dxa"/>
            <w:noWrap/>
            <w:vAlign w:val="center"/>
          </w:tcPr>
          <w:p w14:paraId="3252CCE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00" w:themeColor="text1"/>
                <w:sz w:val="21"/>
                <w:szCs w:val="21"/>
                <w:lang w:val="en-US" w:eastAsia="zh-CN" w:bidi="ar-SA"/>
                <w14:textFill>
                  <w14:solidFill>
                    <w14:schemeClr w14:val="tx1"/>
                  </w14:solidFill>
                </w14:textFill>
              </w:rPr>
              <w:t>8</w:t>
            </w:r>
          </w:p>
        </w:tc>
        <w:tc>
          <w:tcPr>
            <w:tcW w:w="3508" w:type="dxa"/>
            <w:noWrap/>
            <w:vAlign w:val="center"/>
          </w:tcPr>
          <w:p w14:paraId="28CDE90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叉车安全</w:t>
            </w:r>
            <w:r>
              <w:rPr>
                <w:rFonts w:hint="default" w:ascii="宋体" w:hAnsi="宋体" w:eastAsia="宋体" w:cs="宋体"/>
                <w:color w:val="000000" w:themeColor="text1"/>
                <w:sz w:val="21"/>
                <w:szCs w:val="21"/>
                <w:lang w:val="en-US" w:eastAsia="zh-CN" w:bidi="ar-SA"/>
                <w14:textFill>
                  <w14:solidFill>
                    <w14:schemeClr w14:val="tx1"/>
                  </w14:solidFill>
                </w14:textFill>
              </w:rPr>
              <w:t>操作规程</w:t>
            </w:r>
          </w:p>
        </w:tc>
      </w:tr>
    </w:tbl>
    <w:p w14:paraId="4CAD6ED8">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233" w:name="_Toc1972"/>
      <w:r>
        <w:rPr>
          <w:rFonts w:hint="default" w:ascii="Times New Roman" w:hAnsi="Times New Roman" w:eastAsia="黑体"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eastAsia="黑体"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4 </w:t>
      </w:r>
      <w:r>
        <w:rPr>
          <w:rFonts w:hint="default" w:ascii="Times New Roman" w:hAnsi="Times New Roman" w:eastAsia="黑体" w:cs="Times New Roman"/>
          <w:color w:val="000000" w:themeColor="text1"/>
          <w14:textFill>
            <w14:solidFill>
              <w14:schemeClr w14:val="tx1"/>
            </w14:solidFill>
          </w14:textFill>
        </w:rPr>
        <w:t>安全管理人员及特种作业人员持证上岗情况</w:t>
      </w:r>
      <w:bookmarkEnd w:id="231"/>
      <w:bookmarkEnd w:id="232"/>
      <w:bookmarkEnd w:id="233"/>
    </w:p>
    <w:p w14:paraId="7AC89D10">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default" w:ascii="Times New Roman" w:eastAsia="宋体" w:cs="Times New Roman"/>
          <w:color w:val="000000" w:themeColor="text1"/>
          <w:sz w:val="28"/>
          <w:szCs w:val="28"/>
          <w:lang w:val="en-US" w:eastAsia="zh-CN"/>
          <w14:textFill>
            <w14:solidFill>
              <w14:schemeClr w14:val="tx1"/>
            </w14:solidFill>
          </w14:textFill>
        </w:rPr>
      </w:pPr>
      <w:bookmarkStart w:id="234" w:name="_Toc13628"/>
      <w:bookmarkStart w:id="235" w:name="_Toc313453487"/>
      <w:r>
        <w:rPr>
          <w:rFonts w:hint="default" w:ascii="Times New Roman" w:hAnsi="Times New Roman" w:cs="Times New Roman"/>
          <w:color w:val="000000" w:themeColor="text1"/>
          <w:sz w:val="28"/>
          <w:szCs w:val="28"/>
          <w14:textFill>
            <w14:solidFill>
              <w14:schemeClr w14:val="tx1"/>
            </w14:solidFill>
          </w14:textFill>
        </w:rPr>
        <w:t>该公司主要负责人取得了安全生产知识和管理能力考核合格证，</w:t>
      </w:r>
      <w:r>
        <w:rPr>
          <w:rFonts w:hint="eastAsia" w:ascii="Times New Roman" w:cs="Times New Roman"/>
          <w:color w:val="000000" w:themeColor="text1"/>
          <w:sz w:val="28"/>
          <w:szCs w:val="28"/>
          <w:lang w:val="en-US" w:eastAsia="zh-CN"/>
          <w14:textFill>
            <w14:solidFill>
              <w14:schemeClr w14:val="tx1"/>
            </w14:solidFill>
          </w14:textFill>
        </w:rPr>
        <w:t>安全管理人（王琪）已通过</w:t>
      </w:r>
      <w:r>
        <w:rPr>
          <w:rFonts w:hint="default" w:ascii="Times New Roman" w:hAnsi="Times New Roman" w:cs="Times New Roman"/>
          <w:color w:val="000000" w:themeColor="text1"/>
          <w:sz w:val="28"/>
          <w:szCs w:val="28"/>
          <w14:textFill>
            <w14:solidFill>
              <w14:schemeClr w14:val="tx1"/>
            </w14:solidFill>
          </w14:textFill>
        </w:rPr>
        <w:t>安全生产知识和管理能力考核</w:t>
      </w:r>
      <w:r>
        <w:rPr>
          <w:rFonts w:hint="eastAsia" w:ascii="Times New Roman" w:cs="Times New Roman"/>
          <w:color w:val="000000" w:themeColor="text1"/>
          <w:sz w:val="28"/>
          <w:szCs w:val="28"/>
          <w:lang w:eastAsia="zh-CN"/>
          <w14:textFill>
            <w14:solidFill>
              <w14:schemeClr w14:val="tx1"/>
            </w14:solidFill>
          </w14:textFill>
        </w:rPr>
        <w:t>，</w:t>
      </w:r>
      <w:r>
        <w:rPr>
          <w:rFonts w:hint="eastAsia" w:ascii="Times New Roman" w:cs="Times New Roman"/>
          <w:color w:val="000000" w:themeColor="text1"/>
          <w:sz w:val="28"/>
          <w:szCs w:val="28"/>
          <w:lang w:val="en-US" w:eastAsia="zh-CN"/>
          <w14:textFill>
            <w14:solidFill>
              <w14:schemeClr w14:val="tx1"/>
            </w14:solidFill>
          </w14:textFill>
        </w:rPr>
        <w:t>但发证时按主要负责人发证，已重新报名培训。</w:t>
      </w:r>
    </w:p>
    <w:p w14:paraId="6935FAC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电工、焊工</w:t>
      </w:r>
      <w:r>
        <w:rPr>
          <w:rFonts w:hint="eastAsia" w:ascii="Times New Roman" w:hAnsi="Times New Roman" w:cs="Times New Roman"/>
          <w:color w:val="000000" w:themeColor="text1"/>
          <w:sz w:val="28"/>
          <w:szCs w:val="28"/>
          <w:lang w:eastAsia="zh-CN"/>
          <w14:textFill>
            <w14:solidFill>
              <w14:schemeClr w14:val="tx1"/>
            </w14:solidFill>
          </w14:textFill>
        </w:rPr>
        <w:t>、</w:t>
      </w:r>
      <w:r>
        <w:rPr>
          <w:rFonts w:hint="eastAsia" w:ascii="Times New Roman" w:hAnsi="Times New Roman" w:cs="Times New Roman"/>
          <w:color w:val="000000" w:themeColor="text1"/>
          <w:sz w:val="28"/>
          <w:szCs w:val="28"/>
          <w:lang w:val="en-US" w:eastAsia="zh-CN"/>
          <w14:textFill>
            <w14:solidFill>
              <w14:schemeClr w14:val="tx1"/>
            </w14:solidFill>
          </w14:textFill>
        </w:rPr>
        <w:t>叉车</w:t>
      </w:r>
      <w:r>
        <w:rPr>
          <w:rFonts w:hint="default" w:ascii="Times New Roman" w:hAnsi="Times New Roman" w:cs="Times New Roman"/>
          <w:color w:val="000000" w:themeColor="text1"/>
          <w:sz w:val="28"/>
          <w:szCs w:val="28"/>
          <w14:textFill>
            <w14:solidFill>
              <w14:schemeClr w14:val="tx1"/>
            </w14:solidFill>
          </w14:textFill>
        </w:rPr>
        <w:t>等特种作业人员均持证上岗人员证书见附件。</w:t>
      </w:r>
    </w:p>
    <w:p w14:paraId="1B26A3C5">
      <w:pPr>
        <w:adjustRightInd w:val="0"/>
        <w:snapToGrid w:val="0"/>
        <w:spacing w:line="500" w:lineRule="exact"/>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表2-5 安全管理人员持证一览表</w:t>
      </w:r>
    </w:p>
    <w:tbl>
      <w:tblPr>
        <w:tblStyle w:val="51"/>
        <w:tblW w:w="98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853"/>
        <w:gridCol w:w="1431"/>
        <w:gridCol w:w="1732"/>
        <w:gridCol w:w="2122"/>
        <w:gridCol w:w="1437"/>
        <w:gridCol w:w="1887"/>
      </w:tblGrid>
      <w:tr w14:paraId="526DB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tblHeader/>
          <w:jc w:val="center"/>
        </w:trPr>
        <w:tc>
          <w:tcPr>
            <w:tcW w:w="427" w:type="dxa"/>
            <w:tcBorders>
              <w:left w:val="single" w:color="auto" w:sz="4" w:space="0"/>
            </w:tcBorders>
            <w:vAlign w:val="center"/>
          </w:tcPr>
          <w:p w14:paraId="03339AF4">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853" w:type="dxa"/>
            <w:tcBorders>
              <w:left w:val="single" w:color="auto" w:sz="4" w:space="0"/>
            </w:tcBorders>
            <w:vAlign w:val="center"/>
          </w:tcPr>
          <w:p w14:paraId="5A9762E4">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姓名</w:t>
            </w:r>
          </w:p>
        </w:tc>
        <w:tc>
          <w:tcPr>
            <w:tcW w:w="1431" w:type="dxa"/>
            <w:vAlign w:val="center"/>
          </w:tcPr>
          <w:p w14:paraId="1687B3CF">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人员类型</w:t>
            </w:r>
          </w:p>
        </w:tc>
        <w:tc>
          <w:tcPr>
            <w:tcW w:w="1732" w:type="dxa"/>
            <w:vAlign w:val="center"/>
          </w:tcPr>
          <w:p w14:paraId="2DCBB748">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行业类别</w:t>
            </w:r>
          </w:p>
        </w:tc>
        <w:tc>
          <w:tcPr>
            <w:tcW w:w="2122" w:type="dxa"/>
            <w:vAlign w:val="center"/>
          </w:tcPr>
          <w:p w14:paraId="2D001891">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证书编号</w:t>
            </w:r>
          </w:p>
        </w:tc>
        <w:tc>
          <w:tcPr>
            <w:tcW w:w="1437" w:type="dxa"/>
            <w:vAlign w:val="center"/>
          </w:tcPr>
          <w:p w14:paraId="6B97B208">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有效期限</w:t>
            </w:r>
          </w:p>
        </w:tc>
        <w:tc>
          <w:tcPr>
            <w:tcW w:w="1887" w:type="dxa"/>
            <w:vAlign w:val="center"/>
          </w:tcPr>
          <w:p w14:paraId="41E11282">
            <w:pPr>
              <w:adjustRightInd w:val="0"/>
              <w:snapToGrid w:val="0"/>
              <w:spacing w:line="300" w:lineRule="exact"/>
              <w:jc w:val="center"/>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签发机关</w:t>
            </w:r>
          </w:p>
        </w:tc>
      </w:tr>
      <w:tr w14:paraId="09868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exact"/>
          <w:jc w:val="center"/>
        </w:trPr>
        <w:tc>
          <w:tcPr>
            <w:tcW w:w="427" w:type="dxa"/>
            <w:tcBorders>
              <w:left w:val="single" w:color="auto" w:sz="4" w:space="0"/>
            </w:tcBorders>
            <w:vAlign w:val="center"/>
          </w:tcPr>
          <w:p w14:paraId="11D6FB3B">
            <w:pPr>
              <w:numPr>
                <w:ilvl w:val="0"/>
                <w:numId w:val="8"/>
              </w:numPr>
              <w:tabs>
                <w:tab w:val="left" w:pos="180"/>
              </w:tabs>
              <w:adjustRightInd w:val="0"/>
              <w:snapToGrid w:val="0"/>
              <w:spacing w:line="300" w:lineRule="exact"/>
              <w:ind w:left="0"/>
              <w:jc w:val="center"/>
              <w:rPr>
                <w:rFonts w:hint="eastAsia" w:ascii="宋体" w:hAnsi="宋体" w:eastAsia="宋体" w:cs="宋体"/>
                <w:color w:val="000000" w:themeColor="text1"/>
                <w:kern w:val="0"/>
                <w:sz w:val="21"/>
                <w:szCs w:val="21"/>
                <w14:textFill>
                  <w14:solidFill>
                    <w14:schemeClr w14:val="tx1"/>
                  </w14:solidFill>
                </w14:textFill>
              </w:rPr>
            </w:pPr>
          </w:p>
        </w:tc>
        <w:tc>
          <w:tcPr>
            <w:tcW w:w="853" w:type="dxa"/>
            <w:tcBorders>
              <w:left w:val="single" w:color="auto" w:sz="4" w:space="0"/>
            </w:tcBorders>
            <w:vAlign w:val="center"/>
          </w:tcPr>
          <w:p w14:paraId="14FFB1EB">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覃琦</w:t>
            </w:r>
          </w:p>
        </w:tc>
        <w:tc>
          <w:tcPr>
            <w:tcW w:w="1431" w:type="dxa"/>
            <w:vAlign w:val="center"/>
          </w:tcPr>
          <w:p w14:paraId="21B69C8C">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主要负责人</w:t>
            </w:r>
          </w:p>
        </w:tc>
        <w:tc>
          <w:tcPr>
            <w:tcW w:w="1732" w:type="dxa"/>
            <w:vAlign w:val="center"/>
          </w:tcPr>
          <w:p w14:paraId="4DD9CEB5">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金属非金属矿山</w:t>
            </w:r>
          </w:p>
        </w:tc>
        <w:tc>
          <w:tcPr>
            <w:tcW w:w="2122" w:type="dxa"/>
            <w:vAlign w:val="center"/>
          </w:tcPr>
          <w:p w14:paraId="3097CA0E">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532301198802040026</w:t>
            </w:r>
          </w:p>
        </w:tc>
        <w:tc>
          <w:tcPr>
            <w:tcW w:w="1437" w:type="dxa"/>
            <w:vAlign w:val="center"/>
          </w:tcPr>
          <w:p w14:paraId="0BC03C7B">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2024.4.24-</w:t>
            </w:r>
          </w:p>
          <w:p w14:paraId="7B722C55">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2027.04.23</w:t>
            </w:r>
          </w:p>
        </w:tc>
        <w:tc>
          <w:tcPr>
            <w:tcW w:w="1887" w:type="dxa"/>
            <w:vAlign w:val="center"/>
          </w:tcPr>
          <w:p w14:paraId="0E4DAC64">
            <w:pPr>
              <w:adjustRightInd w:val="0"/>
              <w:snapToGrid w:val="0"/>
              <w:spacing w:line="300" w:lineRule="exact"/>
              <w:jc w:val="center"/>
              <w:rPr>
                <w:rFonts w:hint="eastAsia" w:ascii="宋体" w:hAnsi="宋体" w:eastAsia="宋体" w:cs="宋体"/>
                <w:color w:val="000000" w:themeColor="text1"/>
                <w:sz w:val="21"/>
                <w:szCs w:val="21"/>
                <w:u w:val="none"/>
                <w:lang w:val="en-US" w:eastAsia="zh-CN"/>
                <w14:textFill>
                  <w14:solidFill>
                    <w14:schemeClr w14:val="tx1"/>
                  </w14:solidFill>
                </w14:textFill>
              </w:rPr>
            </w:pPr>
            <w:r>
              <w:rPr>
                <w:rFonts w:hint="eastAsia" w:ascii="宋体" w:hAnsi="宋体" w:eastAsia="宋体" w:cs="宋体"/>
                <w:color w:val="000000" w:themeColor="text1"/>
                <w:sz w:val="21"/>
                <w:szCs w:val="21"/>
                <w:u w:val="none"/>
                <w:lang w:val="en-US" w:eastAsia="zh-CN"/>
                <w14:textFill>
                  <w14:solidFill>
                    <w14:schemeClr w14:val="tx1"/>
                  </w14:solidFill>
                </w14:textFill>
              </w:rPr>
              <w:t>楚雄州应急管理局</w:t>
            </w:r>
          </w:p>
        </w:tc>
      </w:tr>
      <w:tr w14:paraId="6F858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exact"/>
          <w:jc w:val="center"/>
        </w:trPr>
        <w:tc>
          <w:tcPr>
            <w:tcW w:w="427" w:type="dxa"/>
            <w:tcBorders>
              <w:left w:val="single" w:color="auto" w:sz="4" w:space="0"/>
            </w:tcBorders>
            <w:vAlign w:val="center"/>
          </w:tcPr>
          <w:p w14:paraId="03F13B29">
            <w:pPr>
              <w:numPr>
                <w:ilvl w:val="0"/>
                <w:numId w:val="8"/>
              </w:numPr>
              <w:tabs>
                <w:tab w:val="left" w:pos="180"/>
              </w:tabs>
              <w:adjustRightInd w:val="0"/>
              <w:snapToGrid w:val="0"/>
              <w:spacing w:line="300" w:lineRule="exact"/>
              <w:ind w:left="0"/>
              <w:jc w:val="center"/>
              <w:rPr>
                <w:rFonts w:hint="eastAsia" w:ascii="宋体" w:hAnsi="宋体" w:eastAsia="宋体" w:cs="宋体"/>
                <w:color w:val="000000" w:themeColor="text1"/>
                <w:kern w:val="0"/>
                <w:sz w:val="21"/>
                <w:szCs w:val="21"/>
                <w14:textFill>
                  <w14:solidFill>
                    <w14:schemeClr w14:val="tx1"/>
                  </w14:solidFill>
                </w14:textFill>
              </w:rPr>
            </w:pPr>
          </w:p>
        </w:tc>
        <w:tc>
          <w:tcPr>
            <w:tcW w:w="853" w:type="dxa"/>
            <w:tcBorders>
              <w:left w:val="single" w:color="auto" w:sz="4" w:space="0"/>
            </w:tcBorders>
            <w:vAlign w:val="center"/>
          </w:tcPr>
          <w:p w14:paraId="106BAF52">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王琪</w:t>
            </w:r>
          </w:p>
        </w:tc>
        <w:tc>
          <w:tcPr>
            <w:tcW w:w="1431" w:type="dxa"/>
            <w:vAlign w:val="center"/>
          </w:tcPr>
          <w:p w14:paraId="15907E50">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主要负责人</w:t>
            </w:r>
          </w:p>
        </w:tc>
        <w:tc>
          <w:tcPr>
            <w:tcW w:w="1732" w:type="dxa"/>
            <w:vAlign w:val="center"/>
          </w:tcPr>
          <w:p w14:paraId="1EB902FF">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金属非金属矿山</w:t>
            </w:r>
          </w:p>
        </w:tc>
        <w:tc>
          <w:tcPr>
            <w:tcW w:w="2122" w:type="dxa"/>
            <w:vAlign w:val="center"/>
          </w:tcPr>
          <w:p w14:paraId="709F8326">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320404198711134119</w:t>
            </w:r>
          </w:p>
        </w:tc>
        <w:tc>
          <w:tcPr>
            <w:tcW w:w="1437" w:type="dxa"/>
            <w:vAlign w:val="center"/>
          </w:tcPr>
          <w:p w14:paraId="55C7DD0B">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2022.11.16-2025.11.15</w:t>
            </w:r>
          </w:p>
        </w:tc>
        <w:tc>
          <w:tcPr>
            <w:tcW w:w="1887" w:type="dxa"/>
            <w:vAlign w:val="center"/>
          </w:tcPr>
          <w:p w14:paraId="03E1B20E">
            <w:pPr>
              <w:adjustRightInd w:val="0"/>
              <w:snapToGrid w:val="0"/>
              <w:spacing w:line="300" w:lineRule="exact"/>
              <w:jc w:val="center"/>
              <w:rPr>
                <w:rFonts w:hint="eastAsia" w:ascii="宋体" w:hAnsi="宋体" w:eastAsia="宋体" w:cs="宋体"/>
                <w:color w:val="000000" w:themeColor="text1"/>
                <w:sz w:val="21"/>
                <w:szCs w:val="21"/>
                <w:u w:val="none"/>
                <w14:textFill>
                  <w14:solidFill>
                    <w14:schemeClr w14:val="tx1"/>
                  </w14:solidFill>
                </w14:textFill>
              </w:rPr>
            </w:pPr>
            <w:r>
              <w:rPr>
                <w:rFonts w:hint="eastAsia" w:ascii="宋体" w:hAnsi="宋体" w:eastAsia="宋体" w:cs="宋体"/>
                <w:color w:val="000000" w:themeColor="text1"/>
                <w:sz w:val="21"/>
                <w:szCs w:val="21"/>
                <w:u w:val="none"/>
                <w:lang w:val="en-US" w:eastAsia="zh-CN"/>
                <w14:textFill>
                  <w14:solidFill>
                    <w14:schemeClr w14:val="tx1"/>
                  </w14:solidFill>
                </w14:textFill>
              </w:rPr>
              <w:t>楚雄州应急管理局</w:t>
            </w:r>
          </w:p>
        </w:tc>
      </w:tr>
    </w:tbl>
    <w:p w14:paraId="59A89671">
      <w:pPr>
        <w:adjustRightInd w:val="0"/>
        <w:snapToGrid w:val="0"/>
        <w:spacing w:line="500" w:lineRule="exact"/>
        <w:jc w:val="both"/>
        <w:rPr>
          <w:rFonts w:hint="eastAsia" w:ascii="宋体" w:hAnsi="宋体" w:eastAsia="宋体" w:cs="宋体"/>
          <w:bCs/>
          <w:color w:val="000000" w:themeColor="text1"/>
          <w:sz w:val="24"/>
          <w14:textFill>
            <w14:solidFill>
              <w14:schemeClr w14:val="tx1"/>
            </w14:solidFill>
          </w14:textFill>
        </w:rPr>
      </w:pPr>
      <w:bookmarkStart w:id="236" w:name="_Toc61474397"/>
      <w:bookmarkStart w:id="237" w:name="_Toc309682427"/>
      <w:bookmarkStart w:id="238" w:name="_Toc30001375"/>
      <w:bookmarkStart w:id="239" w:name="_Toc24651"/>
    </w:p>
    <w:p w14:paraId="330A320A">
      <w:pPr>
        <w:adjustRightInd w:val="0"/>
        <w:snapToGrid w:val="0"/>
        <w:spacing w:line="360" w:lineRule="auto"/>
        <w:jc w:val="center"/>
        <w:rPr>
          <w:rFonts w:hint="eastAsia" w:ascii="宋体" w:hAnsi="宋体" w:eastAsia="宋体" w:cs="宋体"/>
          <w:bCs/>
          <w:color w:val="000000" w:themeColor="text1"/>
          <w:sz w:val="24"/>
          <w14:textFill>
            <w14:solidFill>
              <w14:schemeClr w14:val="tx1"/>
            </w14:solidFill>
          </w14:textFill>
        </w:rPr>
      </w:pPr>
      <w:r>
        <w:rPr>
          <w:rFonts w:hint="eastAsia" w:ascii="宋体" w:hAnsi="宋体" w:eastAsia="宋体" w:cs="宋体"/>
          <w:bCs/>
          <w:color w:val="000000" w:themeColor="text1"/>
          <w:sz w:val="24"/>
          <w14:textFill>
            <w14:solidFill>
              <w14:schemeClr w14:val="tx1"/>
            </w14:solidFill>
          </w14:textFill>
        </w:rPr>
        <w:t>表2-6 特种设备作业人员持证一览表</w:t>
      </w:r>
    </w:p>
    <w:tbl>
      <w:tblPr>
        <w:tblStyle w:val="51"/>
        <w:tblW w:w="10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
        <w:gridCol w:w="999"/>
        <w:gridCol w:w="1266"/>
        <w:gridCol w:w="1732"/>
        <w:gridCol w:w="2332"/>
        <w:gridCol w:w="1374"/>
        <w:gridCol w:w="1941"/>
      </w:tblGrid>
      <w:tr w14:paraId="4A022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exact"/>
          <w:tblHeader/>
          <w:jc w:val="center"/>
        </w:trPr>
        <w:tc>
          <w:tcPr>
            <w:tcW w:w="446" w:type="dxa"/>
            <w:tcBorders>
              <w:left w:val="single" w:color="auto" w:sz="4" w:space="0"/>
            </w:tcBorders>
            <w:vAlign w:val="center"/>
          </w:tcPr>
          <w:p w14:paraId="0492E76B">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999" w:type="dxa"/>
            <w:tcBorders>
              <w:left w:val="single" w:color="auto" w:sz="4" w:space="0"/>
            </w:tcBorders>
            <w:vAlign w:val="center"/>
          </w:tcPr>
          <w:p w14:paraId="3012B0FF">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姓名</w:t>
            </w:r>
          </w:p>
        </w:tc>
        <w:tc>
          <w:tcPr>
            <w:tcW w:w="1266" w:type="dxa"/>
            <w:vAlign w:val="center"/>
          </w:tcPr>
          <w:p w14:paraId="29703264">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作业类别</w:t>
            </w:r>
          </w:p>
        </w:tc>
        <w:tc>
          <w:tcPr>
            <w:tcW w:w="1732" w:type="dxa"/>
            <w:vAlign w:val="center"/>
          </w:tcPr>
          <w:p w14:paraId="352CA223">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操作项目</w:t>
            </w:r>
          </w:p>
        </w:tc>
        <w:tc>
          <w:tcPr>
            <w:tcW w:w="2332" w:type="dxa"/>
            <w:vAlign w:val="center"/>
          </w:tcPr>
          <w:p w14:paraId="3521BB2D">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证书编号</w:t>
            </w:r>
          </w:p>
        </w:tc>
        <w:tc>
          <w:tcPr>
            <w:tcW w:w="1374" w:type="dxa"/>
            <w:vAlign w:val="center"/>
          </w:tcPr>
          <w:p w14:paraId="1E4C8BC8">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有效期限</w:t>
            </w:r>
          </w:p>
        </w:tc>
        <w:tc>
          <w:tcPr>
            <w:tcW w:w="1941" w:type="dxa"/>
            <w:vAlign w:val="center"/>
          </w:tcPr>
          <w:p w14:paraId="3368D92F">
            <w:pPr>
              <w:adjustRightInd w:val="0"/>
              <w:snapToGrid w:val="0"/>
              <w:spacing w:line="300" w:lineRule="exact"/>
              <w:jc w:val="center"/>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签发机关</w:t>
            </w:r>
          </w:p>
        </w:tc>
      </w:tr>
      <w:tr w14:paraId="14165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exact"/>
          <w:jc w:val="center"/>
        </w:trPr>
        <w:tc>
          <w:tcPr>
            <w:tcW w:w="446" w:type="dxa"/>
            <w:tcBorders>
              <w:left w:val="single" w:color="auto" w:sz="4" w:space="0"/>
            </w:tcBorders>
            <w:vAlign w:val="center"/>
          </w:tcPr>
          <w:p w14:paraId="1DE40B01">
            <w:pPr>
              <w:numPr>
                <w:ilvl w:val="0"/>
                <w:numId w:val="9"/>
              </w:numPr>
              <w:tabs>
                <w:tab w:val="left" w:pos="180"/>
              </w:tabs>
              <w:adjustRightInd w:val="0"/>
              <w:snapToGrid w:val="0"/>
              <w:spacing w:line="300" w:lineRule="exact"/>
              <w:ind w:left="0"/>
              <w:jc w:val="center"/>
              <w:rPr>
                <w:rFonts w:hint="eastAsia" w:ascii="宋体" w:hAnsi="宋体" w:eastAsia="宋体" w:cs="宋体"/>
                <w:color w:val="000000" w:themeColor="text1"/>
                <w:kern w:val="0"/>
                <w:sz w:val="21"/>
                <w:szCs w:val="21"/>
                <w14:textFill>
                  <w14:solidFill>
                    <w14:schemeClr w14:val="tx1"/>
                  </w14:solidFill>
                </w14:textFill>
              </w:rPr>
            </w:pPr>
          </w:p>
        </w:tc>
        <w:tc>
          <w:tcPr>
            <w:tcW w:w="999" w:type="dxa"/>
            <w:tcBorders>
              <w:left w:val="single" w:color="auto" w:sz="4" w:space="0"/>
            </w:tcBorders>
            <w:vAlign w:val="center"/>
          </w:tcPr>
          <w:p w14:paraId="6D6BC5CC">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徐自洪</w:t>
            </w:r>
          </w:p>
        </w:tc>
        <w:tc>
          <w:tcPr>
            <w:tcW w:w="1266" w:type="dxa"/>
            <w:vAlign w:val="center"/>
          </w:tcPr>
          <w:p w14:paraId="5AC118D0">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焊接与热切制作业</w:t>
            </w:r>
          </w:p>
        </w:tc>
        <w:tc>
          <w:tcPr>
            <w:tcW w:w="1732" w:type="dxa"/>
            <w:vAlign w:val="center"/>
          </w:tcPr>
          <w:p w14:paraId="4D1C5E0B">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熔化焊接与热切制作业</w:t>
            </w:r>
          </w:p>
        </w:tc>
        <w:tc>
          <w:tcPr>
            <w:tcW w:w="2332" w:type="dxa"/>
            <w:vAlign w:val="center"/>
          </w:tcPr>
          <w:p w14:paraId="0A1C322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532323197109291736</w:t>
            </w:r>
          </w:p>
        </w:tc>
        <w:tc>
          <w:tcPr>
            <w:tcW w:w="1374" w:type="dxa"/>
            <w:vAlign w:val="center"/>
          </w:tcPr>
          <w:p w14:paraId="024BA74D">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2021.4.30-</w:t>
            </w:r>
          </w:p>
          <w:p w14:paraId="63CB852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2027.4.29</w:t>
            </w:r>
          </w:p>
        </w:tc>
        <w:tc>
          <w:tcPr>
            <w:tcW w:w="1941" w:type="dxa"/>
            <w:vAlign w:val="center"/>
          </w:tcPr>
          <w:p w14:paraId="0756D709">
            <w:pPr>
              <w:adjustRightInd w:val="0"/>
              <w:snapToGrid w:val="0"/>
              <w:spacing w:line="300" w:lineRule="exact"/>
              <w:jc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楚雄彝族自治州应急管理局</w:t>
            </w:r>
          </w:p>
        </w:tc>
      </w:tr>
      <w:tr w14:paraId="362C2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exact"/>
          <w:jc w:val="center"/>
        </w:trPr>
        <w:tc>
          <w:tcPr>
            <w:tcW w:w="446" w:type="dxa"/>
            <w:tcBorders>
              <w:left w:val="single" w:color="auto" w:sz="4" w:space="0"/>
            </w:tcBorders>
            <w:vAlign w:val="center"/>
          </w:tcPr>
          <w:p w14:paraId="5E7BF88C">
            <w:pPr>
              <w:numPr>
                <w:ilvl w:val="0"/>
                <w:numId w:val="9"/>
              </w:numPr>
              <w:tabs>
                <w:tab w:val="left" w:pos="180"/>
              </w:tabs>
              <w:adjustRightInd w:val="0"/>
              <w:snapToGrid w:val="0"/>
              <w:spacing w:line="300" w:lineRule="exact"/>
              <w:ind w:left="0"/>
              <w:jc w:val="center"/>
              <w:rPr>
                <w:rFonts w:hint="eastAsia" w:ascii="宋体" w:hAnsi="宋体" w:eastAsia="宋体" w:cs="宋体"/>
                <w:color w:val="000000" w:themeColor="text1"/>
                <w:kern w:val="0"/>
                <w:sz w:val="21"/>
                <w:szCs w:val="21"/>
                <w14:textFill>
                  <w14:solidFill>
                    <w14:schemeClr w14:val="tx1"/>
                  </w14:solidFill>
                </w14:textFill>
              </w:rPr>
            </w:pPr>
          </w:p>
        </w:tc>
        <w:tc>
          <w:tcPr>
            <w:tcW w:w="999" w:type="dxa"/>
            <w:tcBorders>
              <w:left w:val="single" w:color="auto" w:sz="4" w:space="0"/>
            </w:tcBorders>
            <w:vAlign w:val="center"/>
          </w:tcPr>
          <w:p w14:paraId="1DA91B5E">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李家兴</w:t>
            </w:r>
          </w:p>
        </w:tc>
        <w:tc>
          <w:tcPr>
            <w:tcW w:w="1266" w:type="dxa"/>
            <w:vAlign w:val="center"/>
          </w:tcPr>
          <w:p w14:paraId="44BEC276">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电工作业</w:t>
            </w:r>
          </w:p>
        </w:tc>
        <w:tc>
          <w:tcPr>
            <w:tcW w:w="1732" w:type="dxa"/>
            <w:vAlign w:val="center"/>
          </w:tcPr>
          <w:p w14:paraId="1B99B70F">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低</w:t>
            </w:r>
            <w:r>
              <w:rPr>
                <w:rFonts w:hint="eastAsia" w:ascii="宋体" w:hAnsi="宋体" w:eastAsia="宋体" w:cs="宋体"/>
                <w:color w:val="000000" w:themeColor="text1"/>
                <w:sz w:val="21"/>
                <w:szCs w:val="21"/>
                <w14:textFill>
                  <w14:solidFill>
                    <w14:schemeClr w14:val="tx1"/>
                  </w14:solidFill>
                </w14:textFill>
              </w:rPr>
              <w:t>压电工作业</w:t>
            </w:r>
          </w:p>
        </w:tc>
        <w:tc>
          <w:tcPr>
            <w:tcW w:w="2332" w:type="dxa"/>
            <w:vAlign w:val="center"/>
          </w:tcPr>
          <w:p w14:paraId="3C1878E9">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T532323198204011514</w:t>
            </w:r>
          </w:p>
        </w:tc>
        <w:tc>
          <w:tcPr>
            <w:tcW w:w="1374" w:type="dxa"/>
            <w:vAlign w:val="center"/>
          </w:tcPr>
          <w:p w14:paraId="630369E9">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2021.5.26-</w:t>
            </w:r>
          </w:p>
          <w:p w14:paraId="78C96958">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2027.5.25</w:t>
            </w:r>
          </w:p>
        </w:tc>
        <w:tc>
          <w:tcPr>
            <w:tcW w:w="1941" w:type="dxa"/>
            <w:vAlign w:val="center"/>
          </w:tcPr>
          <w:p w14:paraId="365F0740">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楚雄彝族自治州应急管局</w:t>
            </w:r>
          </w:p>
        </w:tc>
      </w:tr>
      <w:tr w14:paraId="0A86F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exact"/>
          <w:jc w:val="center"/>
        </w:trPr>
        <w:tc>
          <w:tcPr>
            <w:tcW w:w="446" w:type="dxa"/>
            <w:tcBorders>
              <w:left w:val="single" w:color="auto" w:sz="4" w:space="0"/>
            </w:tcBorders>
            <w:vAlign w:val="center"/>
          </w:tcPr>
          <w:p w14:paraId="2C0E81F7">
            <w:pPr>
              <w:numPr>
                <w:ilvl w:val="0"/>
                <w:numId w:val="9"/>
              </w:numPr>
              <w:tabs>
                <w:tab w:val="left" w:pos="180"/>
              </w:tabs>
              <w:adjustRightInd w:val="0"/>
              <w:snapToGrid w:val="0"/>
              <w:spacing w:line="300" w:lineRule="exact"/>
              <w:ind w:left="0"/>
              <w:jc w:val="center"/>
              <w:rPr>
                <w:rFonts w:hint="eastAsia" w:ascii="宋体" w:hAnsi="宋体" w:eastAsia="宋体" w:cs="宋体"/>
                <w:color w:val="000000" w:themeColor="text1"/>
                <w:kern w:val="0"/>
                <w:sz w:val="21"/>
                <w:szCs w:val="21"/>
                <w14:textFill>
                  <w14:solidFill>
                    <w14:schemeClr w14:val="tx1"/>
                  </w14:solidFill>
                </w14:textFill>
              </w:rPr>
            </w:pPr>
            <w:bookmarkStart w:id="240" w:name="_Toc28187"/>
          </w:p>
        </w:tc>
        <w:tc>
          <w:tcPr>
            <w:tcW w:w="999" w:type="dxa"/>
            <w:tcBorders>
              <w:left w:val="single" w:color="auto" w:sz="4" w:space="0"/>
            </w:tcBorders>
            <w:vAlign w:val="center"/>
          </w:tcPr>
          <w:p w14:paraId="6571CEB1">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王琪</w:t>
            </w:r>
          </w:p>
        </w:tc>
        <w:tc>
          <w:tcPr>
            <w:tcW w:w="1266" w:type="dxa"/>
            <w:vAlign w:val="center"/>
          </w:tcPr>
          <w:p w14:paraId="71D366A9">
            <w:pPr>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叉车</w:t>
            </w:r>
          </w:p>
        </w:tc>
        <w:tc>
          <w:tcPr>
            <w:tcW w:w="1732" w:type="dxa"/>
            <w:vAlign w:val="center"/>
          </w:tcPr>
          <w:p w14:paraId="13F2AFAE">
            <w:pPr>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特种设备操作证</w:t>
            </w:r>
          </w:p>
        </w:tc>
        <w:tc>
          <w:tcPr>
            <w:tcW w:w="2332" w:type="dxa"/>
            <w:vAlign w:val="center"/>
          </w:tcPr>
          <w:p w14:paraId="759CFE9A">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320404198711134119</w:t>
            </w:r>
          </w:p>
        </w:tc>
        <w:tc>
          <w:tcPr>
            <w:tcW w:w="1374" w:type="dxa"/>
            <w:vAlign w:val="center"/>
          </w:tcPr>
          <w:p w14:paraId="05E37F8F">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2023.11-</w:t>
            </w:r>
          </w:p>
          <w:p w14:paraId="053215D5">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2027.10</w:t>
            </w:r>
          </w:p>
        </w:tc>
        <w:tc>
          <w:tcPr>
            <w:tcW w:w="1941" w:type="dxa"/>
            <w:vAlign w:val="center"/>
          </w:tcPr>
          <w:p w14:paraId="741DC2BE">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楚雄州市场监督管理局</w:t>
            </w:r>
          </w:p>
        </w:tc>
      </w:tr>
      <w:bookmarkEnd w:id="236"/>
      <w:bookmarkEnd w:id="237"/>
      <w:bookmarkEnd w:id="238"/>
      <w:bookmarkEnd w:id="239"/>
      <w:bookmarkEnd w:id="240"/>
    </w:tbl>
    <w:p w14:paraId="6B9862A6">
      <w:pPr>
        <w:rPr>
          <w:rFonts w:hint="eastAsia"/>
          <w:color w:val="000000" w:themeColor="text1"/>
          <w14:textFill>
            <w14:solidFill>
              <w14:schemeClr w14:val="tx1"/>
            </w14:solidFill>
          </w14:textFill>
        </w:rPr>
      </w:pPr>
    </w:p>
    <w:bookmarkEnd w:id="234"/>
    <w:p w14:paraId="640786A0">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14:textFill>
            <w14:solidFill>
              <w14:schemeClr w14:val="tx1"/>
            </w14:solidFill>
          </w14:textFill>
        </w:rPr>
      </w:pPr>
      <w:bookmarkStart w:id="241" w:name="_Toc6281"/>
      <w:bookmarkStart w:id="242" w:name="_Toc1418"/>
      <w:bookmarkStart w:id="243" w:name="_Toc21691"/>
      <w:r>
        <w:rPr>
          <w:rFonts w:hint="default" w:ascii="Times New Roman" w:hAnsi="Times New Roman" w:eastAsia="黑体"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eastAsia="黑体"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5 </w:t>
      </w:r>
      <w:r>
        <w:rPr>
          <w:rFonts w:hint="default" w:ascii="Times New Roman" w:hAnsi="Times New Roman" w:eastAsia="黑体" w:cs="Times New Roman"/>
          <w:color w:val="000000" w:themeColor="text1"/>
          <w14:textFill>
            <w14:solidFill>
              <w14:schemeClr w14:val="tx1"/>
            </w14:solidFill>
          </w14:textFill>
        </w:rPr>
        <w:t>安全生产资金投入</w:t>
      </w:r>
      <w:bookmarkEnd w:id="241"/>
      <w:bookmarkEnd w:id="242"/>
      <w:bookmarkEnd w:id="243"/>
    </w:p>
    <w:p w14:paraId="5A0F2D49">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bookmarkStart w:id="244" w:name="_Toc17317"/>
      <w:r>
        <w:rPr>
          <w:rFonts w:hint="eastAsia" w:ascii="宋体" w:hAnsi="宋体" w:cs="宋体"/>
          <w:color w:val="000000" w:themeColor="text1"/>
          <w:sz w:val="28"/>
          <w:szCs w:val="28"/>
          <w14:textFill>
            <w14:solidFill>
              <w14:schemeClr w14:val="tx1"/>
            </w14:solidFill>
          </w14:textFill>
        </w:rPr>
        <w:t>企业建立了安全费用提取及使用台账，安全费用按照《企业安全生产费用提取和使用管理办法》（〔2022〕136号）规定，提取的安全费用在成本中列支，并严格按照安全生产费用管理制度进行审核和提取。企业安全生产费用主要用于安全生产检查、评价、安全咨询服务、安全生产宣传、教育、培训等支出；完善、改造和维护安全防护设施设备支出，包括作业场所的监控、监测、防火、防机械伤害、防坠落、防尘、防毒、防噪声与振动、防辐射和隔离操作等设施设备支出；配备、维护、保养应急救援器材、设备；配备和更新现场安全标识及作业人员安全防护用品支出；安全设施及特种设备检测检验支出等。企业职业安全卫生投入费用主要用于防护设施建设与维护、个人劳动防护用品购买、工作场所职业卫生检测评价、职业卫生宣传培训、员工健康监护等。</w:t>
      </w:r>
    </w:p>
    <w:p w14:paraId="37D35D93">
      <w:pPr>
        <w:pStyle w:val="68"/>
        <w:keepNext w:val="0"/>
        <w:keepLines w:val="0"/>
        <w:pageBreakBefore w:val="0"/>
        <w:widowControl w:val="0"/>
        <w:kinsoku/>
        <w:wordWrap/>
        <w:overflowPunct/>
        <w:topLinePunct w:val="0"/>
        <w:autoSpaceDE/>
        <w:autoSpaceDN/>
        <w:bidi w:val="0"/>
        <w:adjustRightInd w:val="0"/>
        <w:snapToGrid w:val="0"/>
        <w:spacing w:line="500" w:lineRule="exact"/>
        <w:ind w:firstLine="560"/>
        <w:jc w:val="both"/>
        <w:textAlignment w:val="auto"/>
        <w:outlineLvl w:val="9"/>
        <w:rPr>
          <w:rFonts w:hint="eastAsia" w:ascii="宋体" w:hAnsi="宋体" w:cs="宋体"/>
          <w:b w:val="0"/>
          <w:bCs/>
          <w:color w:val="000000" w:themeColor="text1"/>
          <w:kern w:val="2"/>
          <w:sz w:val="28"/>
          <w:szCs w:val="28"/>
          <w14:textFill>
            <w14:solidFill>
              <w14:schemeClr w14:val="tx1"/>
            </w14:solidFill>
          </w14:textFill>
        </w:rPr>
      </w:pPr>
      <w:r>
        <w:rPr>
          <w:rFonts w:hint="eastAsia" w:ascii="宋体" w:hAnsi="宋体" w:cs="宋体"/>
          <w:b w:val="0"/>
          <w:bCs/>
          <w:color w:val="000000" w:themeColor="text1"/>
          <w:kern w:val="2"/>
          <w:sz w:val="28"/>
          <w:szCs w:val="28"/>
          <w14:textFill>
            <w14:solidFill>
              <w14:schemeClr w14:val="tx1"/>
            </w14:solidFill>
          </w14:textFill>
        </w:rPr>
        <w:t>企业202</w:t>
      </w:r>
      <w:r>
        <w:rPr>
          <w:rFonts w:hint="eastAsia" w:ascii="宋体" w:hAnsi="宋体" w:cs="宋体"/>
          <w:b w:val="0"/>
          <w:bCs/>
          <w:color w:val="000000" w:themeColor="text1"/>
          <w:kern w:val="2"/>
          <w:sz w:val="28"/>
          <w:szCs w:val="28"/>
          <w:lang w:val="en-US" w:eastAsia="zh-CN"/>
          <w14:textFill>
            <w14:solidFill>
              <w14:schemeClr w14:val="tx1"/>
            </w14:solidFill>
          </w14:textFill>
        </w:rPr>
        <w:t>4</w:t>
      </w:r>
      <w:r>
        <w:rPr>
          <w:rFonts w:hint="eastAsia" w:ascii="宋体" w:hAnsi="宋体" w:cs="宋体"/>
          <w:b w:val="0"/>
          <w:bCs/>
          <w:color w:val="000000" w:themeColor="text1"/>
          <w:kern w:val="2"/>
          <w:sz w:val="28"/>
          <w:szCs w:val="28"/>
          <w14:textFill>
            <w14:solidFill>
              <w14:schemeClr w14:val="tx1"/>
            </w14:solidFill>
          </w14:textFill>
        </w:rPr>
        <w:t>年</w:t>
      </w:r>
      <w:r>
        <w:rPr>
          <w:rFonts w:hint="eastAsia" w:ascii="宋体" w:hAnsi="宋体" w:cs="宋体"/>
          <w:b w:val="0"/>
          <w:bCs/>
          <w:color w:val="000000" w:themeColor="text1"/>
          <w:kern w:val="2"/>
          <w:sz w:val="28"/>
          <w:szCs w:val="28"/>
          <w:lang w:val="en-US" w:eastAsia="zh-CN"/>
          <w14:textFill>
            <w14:solidFill>
              <w14:schemeClr w14:val="tx1"/>
            </w14:solidFill>
          </w14:textFill>
        </w:rPr>
        <w:t>1-9月</w:t>
      </w:r>
      <w:r>
        <w:rPr>
          <w:rFonts w:hint="eastAsia" w:ascii="宋体" w:hAnsi="宋体" w:cs="宋体"/>
          <w:b w:val="0"/>
          <w:bCs/>
          <w:color w:val="000000" w:themeColor="text1"/>
          <w:kern w:val="2"/>
          <w:sz w:val="28"/>
          <w:szCs w:val="28"/>
          <w14:textFill>
            <w14:solidFill>
              <w14:schemeClr w14:val="tx1"/>
            </w14:solidFill>
          </w14:textFill>
        </w:rPr>
        <w:t>安全专项资金投入明细见表</w:t>
      </w:r>
      <w:r>
        <w:rPr>
          <w:rFonts w:hint="eastAsia" w:ascii="宋体" w:hAnsi="宋体" w:cs="宋体"/>
          <w:b w:val="0"/>
          <w:bCs/>
          <w:color w:val="000000" w:themeColor="text1"/>
          <w:kern w:val="2"/>
          <w:sz w:val="28"/>
          <w:szCs w:val="28"/>
          <w:lang w:val="en-US" w:eastAsia="zh-CN"/>
          <w14:textFill>
            <w14:solidFill>
              <w14:schemeClr w14:val="tx1"/>
            </w14:solidFill>
          </w14:textFill>
        </w:rPr>
        <w:t>2-12</w:t>
      </w:r>
      <w:r>
        <w:rPr>
          <w:rFonts w:hint="eastAsia" w:ascii="宋体" w:hAnsi="宋体" w:cs="宋体"/>
          <w:b w:val="0"/>
          <w:bCs/>
          <w:color w:val="000000" w:themeColor="text1"/>
          <w:kern w:val="2"/>
          <w:sz w:val="28"/>
          <w:szCs w:val="28"/>
          <w14:textFill>
            <w14:solidFill>
              <w14:schemeClr w14:val="tx1"/>
            </w14:solidFill>
          </w14:textFill>
        </w:rPr>
        <w:t>。</w:t>
      </w:r>
    </w:p>
    <w:p w14:paraId="6CCCC4A3">
      <w:pPr>
        <w:pStyle w:val="68"/>
        <w:keepNext w:val="0"/>
        <w:keepLines w:val="0"/>
        <w:pageBreakBefore w:val="0"/>
        <w:widowControl w:val="0"/>
        <w:kinsoku/>
        <w:wordWrap/>
        <w:overflowPunct/>
        <w:topLinePunct w:val="0"/>
        <w:autoSpaceDE/>
        <w:autoSpaceDN/>
        <w:bidi w:val="0"/>
        <w:adjustRightInd w:val="0"/>
        <w:snapToGrid w:val="0"/>
        <w:spacing w:line="500" w:lineRule="exact"/>
        <w:ind w:firstLine="560"/>
        <w:jc w:val="center"/>
        <w:textAlignment w:val="auto"/>
        <w:outlineLvl w:val="9"/>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表2-1</w:t>
      </w:r>
      <w:r>
        <w:rPr>
          <w:rFonts w:hint="eastAsia" w:ascii="宋体" w:hAnsi="宋体" w:cs="宋体"/>
          <w:color w:val="000000" w:themeColor="text1"/>
          <w:szCs w:val="21"/>
          <w:lang w:val="en-US" w:eastAsia="zh-CN"/>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 xml:space="preserve"> 202</w:t>
      </w:r>
      <w:r>
        <w:rPr>
          <w:rFonts w:hint="eastAsia" w:ascii="宋体" w:hAnsi="宋体" w:cs="宋体"/>
          <w:color w:val="000000" w:themeColor="text1"/>
          <w:szCs w:val="21"/>
          <w:lang w:val="en-US" w:eastAsia="zh-CN"/>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年</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lang w:val="en-US" w:eastAsia="zh-CN"/>
          <w14:textFill>
            <w14:solidFill>
              <w14:schemeClr w14:val="tx1"/>
            </w14:solidFill>
          </w14:textFill>
        </w:rPr>
        <w:t>1-9月</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安全费用投入明细</w:t>
      </w:r>
    </w:p>
    <w:tbl>
      <w:tblPr>
        <w:tblStyle w:val="52"/>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459"/>
        <w:gridCol w:w="2385"/>
        <w:gridCol w:w="2088"/>
      </w:tblGrid>
      <w:tr w14:paraId="79FF7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1008" w:type="dxa"/>
            <w:vAlign w:val="center"/>
          </w:tcPr>
          <w:p w14:paraId="20FFCD1E">
            <w:pPr>
              <w:tabs>
                <w:tab w:val="left" w:pos="2700"/>
              </w:tabs>
              <w:adjustRightInd w:val="0"/>
              <w:snapToGrid w:val="0"/>
              <w:jc w:val="center"/>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序号</w:t>
            </w:r>
          </w:p>
        </w:tc>
        <w:tc>
          <w:tcPr>
            <w:tcW w:w="3459" w:type="dxa"/>
            <w:vAlign w:val="center"/>
          </w:tcPr>
          <w:p w14:paraId="0E579296">
            <w:pPr>
              <w:tabs>
                <w:tab w:val="left" w:pos="2700"/>
              </w:tabs>
              <w:adjustRightInd w:val="0"/>
              <w:snapToGrid w:val="0"/>
              <w:jc w:val="center"/>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项目</w:t>
            </w:r>
          </w:p>
        </w:tc>
        <w:tc>
          <w:tcPr>
            <w:tcW w:w="2385" w:type="dxa"/>
            <w:vAlign w:val="center"/>
          </w:tcPr>
          <w:p w14:paraId="35CE9636">
            <w:pPr>
              <w:tabs>
                <w:tab w:val="left" w:pos="2700"/>
              </w:tabs>
              <w:adjustRightInd w:val="0"/>
              <w:snapToGrid w:val="0"/>
              <w:jc w:val="center"/>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支出费用（元）</w:t>
            </w:r>
          </w:p>
        </w:tc>
        <w:tc>
          <w:tcPr>
            <w:tcW w:w="2088" w:type="dxa"/>
            <w:vAlign w:val="center"/>
          </w:tcPr>
          <w:p w14:paraId="06ABF607">
            <w:pPr>
              <w:tabs>
                <w:tab w:val="left" w:pos="2700"/>
              </w:tabs>
              <w:adjustRightInd w:val="0"/>
              <w:snapToGrid w:val="0"/>
              <w:jc w:val="center"/>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备注</w:t>
            </w:r>
          </w:p>
        </w:tc>
      </w:tr>
      <w:tr w14:paraId="05A5A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7D3C5535">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3459" w:type="dxa"/>
            <w:vAlign w:val="center"/>
          </w:tcPr>
          <w:p w14:paraId="472094DE">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应急照明配置</w:t>
            </w:r>
          </w:p>
        </w:tc>
        <w:tc>
          <w:tcPr>
            <w:tcW w:w="2385" w:type="dxa"/>
            <w:vAlign w:val="center"/>
          </w:tcPr>
          <w:p w14:paraId="1038F4FF">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980</w:t>
            </w:r>
          </w:p>
        </w:tc>
        <w:tc>
          <w:tcPr>
            <w:tcW w:w="2088" w:type="dxa"/>
            <w:vAlign w:val="center"/>
          </w:tcPr>
          <w:p w14:paraId="3C7776D6">
            <w:pPr>
              <w:tabs>
                <w:tab w:val="left" w:pos="2700"/>
              </w:tabs>
              <w:adjustRightInd w:val="0"/>
              <w:snapToGrid w:val="0"/>
              <w:jc w:val="center"/>
              <w:rPr>
                <w:rFonts w:ascii="宋体" w:hAnsi="宋体" w:cs="宋体"/>
                <w:color w:val="000000" w:themeColor="text1"/>
                <w:szCs w:val="21"/>
                <w14:textFill>
                  <w14:solidFill>
                    <w14:schemeClr w14:val="tx1"/>
                  </w14:solidFill>
                </w14:textFill>
              </w:rPr>
            </w:pPr>
          </w:p>
        </w:tc>
      </w:tr>
      <w:tr w14:paraId="2BE55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07E97AD4">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3459" w:type="dxa"/>
            <w:vAlign w:val="center"/>
          </w:tcPr>
          <w:p w14:paraId="000E3D7C">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警示标志更新设置</w:t>
            </w:r>
          </w:p>
        </w:tc>
        <w:tc>
          <w:tcPr>
            <w:tcW w:w="2385" w:type="dxa"/>
            <w:vAlign w:val="center"/>
          </w:tcPr>
          <w:p w14:paraId="08200E07">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860</w:t>
            </w:r>
          </w:p>
        </w:tc>
        <w:tc>
          <w:tcPr>
            <w:tcW w:w="2088" w:type="dxa"/>
            <w:vAlign w:val="center"/>
          </w:tcPr>
          <w:p w14:paraId="24E46338">
            <w:pPr>
              <w:tabs>
                <w:tab w:val="left" w:pos="2700"/>
              </w:tabs>
              <w:adjustRightInd w:val="0"/>
              <w:snapToGrid w:val="0"/>
              <w:jc w:val="center"/>
              <w:rPr>
                <w:rFonts w:ascii="宋体" w:hAnsi="宋体" w:cs="宋体"/>
                <w:color w:val="000000" w:themeColor="text1"/>
                <w:szCs w:val="21"/>
                <w14:textFill>
                  <w14:solidFill>
                    <w14:schemeClr w14:val="tx1"/>
                  </w14:solidFill>
                </w14:textFill>
              </w:rPr>
            </w:pPr>
          </w:p>
        </w:tc>
      </w:tr>
      <w:tr w14:paraId="17010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46B55F70">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3459" w:type="dxa"/>
            <w:vAlign w:val="center"/>
          </w:tcPr>
          <w:p w14:paraId="168EFA3E">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劳动防护用品配备</w:t>
            </w:r>
          </w:p>
        </w:tc>
        <w:tc>
          <w:tcPr>
            <w:tcW w:w="2385" w:type="dxa"/>
            <w:vAlign w:val="center"/>
          </w:tcPr>
          <w:p w14:paraId="20902ACA">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5260</w:t>
            </w:r>
          </w:p>
        </w:tc>
        <w:tc>
          <w:tcPr>
            <w:tcW w:w="2088" w:type="dxa"/>
            <w:vAlign w:val="center"/>
          </w:tcPr>
          <w:p w14:paraId="247C6051">
            <w:pPr>
              <w:tabs>
                <w:tab w:val="left" w:pos="2700"/>
              </w:tabs>
              <w:adjustRightInd w:val="0"/>
              <w:snapToGrid w:val="0"/>
              <w:jc w:val="center"/>
              <w:rPr>
                <w:rFonts w:ascii="宋体" w:hAnsi="宋体" w:cs="宋体"/>
                <w:color w:val="000000" w:themeColor="text1"/>
                <w:szCs w:val="21"/>
                <w14:textFill>
                  <w14:solidFill>
                    <w14:schemeClr w14:val="tx1"/>
                  </w14:solidFill>
                </w14:textFill>
              </w:rPr>
            </w:pPr>
          </w:p>
        </w:tc>
      </w:tr>
      <w:tr w14:paraId="5D389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51B5B57F">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3459" w:type="dxa"/>
            <w:vAlign w:val="center"/>
          </w:tcPr>
          <w:p w14:paraId="2B418EE9">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安全培训、应急演练</w:t>
            </w:r>
          </w:p>
        </w:tc>
        <w:tc>
          <w:tcPr>
            <w:tcW w:w="2385" w:type="dxa"/>
            <w:vAlign w:val="center"/>
          </w:tcPr>
          <w:p w14:paraId="728EFF26">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1680</w:t>
            </w:r>
          </w:p>
        </w:tc>
        <w:tc>
          <w:tcPr>
            <w:tcW w:w="2088" w:type="dxa"/>
            <w:vAlign w:val="center"/>
          </w:tcPr>
          <w:p w14:paraId="22E00748">
            <w:pPr>
              <w:tabs>
                <w:tab w:val="left" w:pos="2700"/>
              </w:tabs>
              <w:adjustRightInd w:val="0"/>
              <w:snapToGrid w:val="0"/>
              <w:jc w:val="center"/>
              <w:rPr>
                <w:rFonts w:ascii="宋体" w:hAnsi="宋体" w:cs="宋体"/>
                <w:color w:val="000000" w:themeColor="text1"/>
                <w:szCs w:val="21"/>
                <w14:textFill>
                  <w14:solidFill>
                    <w14:schemeClr w14:val="tx1"/>
                  </w14:solidFill>
                </w14:textFill>
              </w:rPr>
            </w:pPr>
          </w:p>
        </w:tc>
      </w:tr>
      <w:tr w14:paraId="57E8A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78C08639">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3459" w:type="dxa"/>
            <w:vAlign w:val="center"/>
          </w:tcPr>
          <w:p w14:paraId="4A130D26">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应急救援物资、消防器材配备</w:t>
            </w:r>
          </w:p>
        </w:tc>
        <w:tc>
          <w:tcPr>
            <w:tcW w:w="2385" w:type="dxa"/>
            <w:vAlign w:val="center"/>
          </w:tcPr>
          <w:p w14:paraId="7E10979A">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4430</w:t>
            </w:r>
          </w:p>
        </w:tc>
        <w:tc>
          <w:tcPr>
            <w:tcW w:w="2088" w:type="dxa"/>
            <w:vAlign w:val="center"/>
          </w:tcPr>
          <w:p w14:paraId="2980F1DD">
            <w:pPr>
              <w:tabs>
                <w:tab w:val="left" w:pos="2700"/>
              </w:tabs>
              <w:adjustRightInd w:val="0"/>
              <w:snapToGrid w:val="0"/>
              <w:jc w:val="center"/>
              <w:rPr>
                <w:rFonts w:ascii="宋体" w:hAnsi="宋体" w:cs="宋体"/>
                <w:color w:val="000000" w:themeColor="text1"/>
                <w:szCs w:val="21"/>
                <w14:textFill>
                  <w14:solidFill>
                    <w14:schemeClr w14:val="tx1"/>
                  </w14:solidFill>
                </w14:textFill>
              </w:rPr>
            </w:pPr>
          </w:p>
        </w:tc>
      </w:tr>
      <w:tr w14:paraId="7FD28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0F2B0E38">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w:t>
            </w:r>
          </w:p>
        </w:tc>
        <w:tc>
          <w:tcPr>
            <w:tcW w:w="3459" w:type="dxa"/>
            <w:vAlign w:val="center"/>
          </w:tcPr>
          <w:p w14:paraId="302F49F7">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安全隐患整改投入</w:t>
            </w:r>
          </w:p>
        </w:tc>
        <w:tc>
          <w:tcPr>
            <w:tcW w:w="2385" w:type="dxa"/>
            <w:vAlign w:val="center"/>
          </w:tcPr>
          <w:p w14:paraId="064A3D4E">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3260</w:t>
            </w:r>
          </w:p>
        </w:tc>
        <w:tc>
          <w:tcPr>
            <w:tcW w:w="2088" w:type="dxa"/>
            <w:vAlign w:val="center"/>
          </w:tcPr>
          <w:p w14:paraId="723DF172">
            <w:pPr>
              <w:tabs>
                <w:tab w:val="left" w:pos="2700"/>
              </w:tabs>
              <w:adjustRightInd w:val="0"/>
              <w:snapToGrid w:val="0"/>
              <w:jc w:val="center"/>
              <w:rPr>
                <w:rFonts w:ascii="宋体" w:hAnsi="宋体" w:cs="宋体"/>
                <w:color w:val="000000" w:themeColor="text1"/>
                <w:szCs w:val="21"/>
                <w14:textFill>
                  <w14:solidFill>
                    <w14:schemeClr w14:val="tx1"/>
                  </w14:solidFill>
                </w14:textFill>
              </w:rPr>
            </w:pPr>
          </w:p>
        </w:tc>
      </w:tr>
      <w:tr w14:paraId="0EF83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1434FF5E">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7</w:t>
            </w:r>
          </w:p>
        </w:tc>
        <w:tc>
          <w:tcPr>
            <w:tcW w:w="3459" w:type="dxa"/>
            <w:vAlign w:val="center"/>
          </w:tcPr>
          <w:p w14:paraId="4468CF27">
            <w:pPr>
              <w:tabs>
                <w:tab w:val="left" w:pos="2700"/>
              </w:tabs>
              <w:adjustRightInd w:val="0"/>
              <w:snapToGrid w:val="0"/>
              <w:jc w:val="center"/>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应急预案修订编制</w:t>
            </w:r>
          </w:p>
        </w:tc>
        <w:tc>
          <w:tcPr>
            <w:tcW w:w="2385" w:type="dxa"/>
            <w:vAlign w:val="center"/>
          </w:tcPr>
          <w:p w14:paraId="7303E80E">
            <w:pPr>
              <w:tabs>
                <w:tab w:val="left" w:pos="2700"/>
              </w:tabs>
              <w:adjustRightInd w:val="0"/>
              <w:snapToGrid w:val="0"/>
              <w:jc w:val="center"/>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7800</w:t>
            </w:r>
          </w:p>
        </w:tc>
        <w:tc>
          <w:tcPr>
            <w:tcW w:w="2088" w:type="dxa"/>
            <w:vAlign w:val="center"/>
          </w:tcPr>
          <w:p w14:paraId="2B64C0AA">
            <w:pPr>
              <w:tabs>
                <w:tab w:val="left" w:pos="2700"/>
              </w:tabs>
              <w:adjustRightInd w:val="0"/>
              <w:snapToGrid w:val="0"/>
              <w:jc w:val="center"/>
              <w:rPr>
                <w:rFonts w:ascii="宋体" w:hAnsi="宋体" w:cs="宋体"/>
                <w:color w:val="000000" w:themeColor="text1"/>
                <w:szCs w:val="21"/>
                <w14:textFill>
                  <w14:solidFill>
                    <w14:schemeClr w14:val="tx1"/>
                  </w14:solidFill>
                </w14:textFill>
              </w:rPr>
            </w:pPr>
          </w:p>
        </w:tc>
      </w:tr>
      <w:tr w14:paraId="5FD6B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1E5677F9">
            <w:pPr>
              <w:tabs>
                <w:tab w:val="left" w:pos="2700"/>
              </w:tabs>
              <w:adjustRightInd w:val="0"/>
              <w:snapToGrid w:val="0"/>
              <w:jc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8</w:t>
            </w:r>
          </w:p>
        </w:tc>
        <w:tc>
          <w:tcPr>
            <w:tcW w:w="3459" w:type="dxa"/>
            <w:vAlign w:val="center"/>
          </w:tcPr>
          <w:p w14:paraId="39BE5FC3">
            <w:pPr>
              <w:tabs>
                <w:tab w:val="left" w:pos="2700"/>
              </w:tabs>
              <w:adjustRightInd w:val="0"/>
              <w:snapToGrid w:val="0"/>
              <w:jc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安全评价</w:t>
            </w:r>
          </w:p>
        </w:tc>
        <w:tc>
          <w:tcPr>
            <w:tcW w:w="2385" w:type="dxa"/>
            <w:vAlign w:val="center"/>
          </w:tcPr>
          <w:p w14:paraId="56C820D0">
            <w:pPr>
              <w:tabs>
                <w:tab w:val="left" w:pos="2700"/>
              </w:tabs>
              <w:adjustRightInd w:val="0"/>
              <w:snapToGrid w:val="0"/>
              <w:jc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17000</w:t>
            </w:r>
          </w:p>
        </w:tc>
        <w:tc>
          <w:tcPr>
            <w:tcW w:w="2088" w:type="dxa"/>
            <w:vAlign w:val="center"/>
          </w:tcPr>
          <w:p w14:paraId="03D3D6D7">
            <w:pPr>
              <w:tabs>
                <w:tab w:val="left" w:pos="2700"/>
              </w:tabs>
              <w:adjustRightInd w:val="0"/>
              <w:snapToGrid w:val="0"/>
              <w:jc w:val="center"/>
              <w:rPr>
                <w:rFonts w:ascii="宋体" w:hAnsi="宋体" w:cs="宋体"/>
                <w:color w:val="000000" w:themeColor="text1"/>
                <w:szCs w:val="21"/>
                <w14:textFill>
                  <w14:solidFill>
                    <w14:schemeClr w14:val="tx1"/>
                  </w14:solidFill>
                </w14:textFill>
              </w:rPr>
            </w:pPr>
          </w:p>
        </w:tc>
      </w:tr>
      <w:tr w14:paraId="7B5B4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0CB4214C">
            <w:pPr>
              <w:tabs>
                <w:tab w:val="left" w:pos="2700"/>
              </w:tabs>
              <w:adjustRightInd w:val="0"/>
              <w:snapToGrid w:val="0"/>
              <w:jc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9</w:t>
            </w:r>
          </w:p>
        </w:tc>
        <w:tc>
          <w:tcPr>
            <w:tcW w:w="3459" w:type="dxa"/>
            <w:vAlign w:val="center"/>
          </w:tcPr>
          <w:p w14:paraId="08CFA1F8">
            <w:pPr>
              <w:tabs>
                <w:tab w:val="left" w:pos="2700"/>
              </w:tabs>
              <w:adjustRightInd w:val="0"/>
              <w:snapToGrid w:val="0"/>
              <w:jc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保险费</w:t>
            </w:r>
          </w:p>
        </w:tc>
        <w:tc>
          <w:tcPr>
            <w:tcW w:w="2385" w:type="dxa"/>
            <w:vAlign w:val="center"/>
          </w:tcPr>
          <w:p w14:paraId="6458E40D">
            <w:pPr>
              <w:tabs>
                <w:tab w:val="left" w:pos="2700"/>
              </w:tabs>
              <w:adjustRightInd w:val="0"/>
              <w:snapToGrid w:val="0"/>
              <w:jc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23400</w:t>
            </w:r>
          </w:p>
        </w:tc>
        <w:tc>
          <w:tcPr>
            <w:tcW w:w="2088" w:type="dxa"/>
            <w:vAlign w:val="center"/>
          </w:tcPr>
          <w:p w14:paraId="52BBD1CF">
            <w:pPr>
              <w:tabs>
                <w:tab w:val="left" w:pos="2700"/>
              </w:tabs>
              <w:adjustRightInd w:val="0"/>
              <w:snapToGrid w:val="0"/>
              <w:jc w:val="center"/>
              <w:rPr>
                <w:rFonts w:ascii="宋体" w:hAnsi="宋体" w:cs="宋体"/>
                <w:color w:val="000000" w:themeColor="text1"/>
                <w:szCs w:val="21"/>
                <w14:textFill>
                  <w14:solidFill>
                    <w14:schemeClr w14:val="tx1"/>
                  </w14:solidFill>
                </w14:textFill>
              </w:rPr>
            </w:pPr>
          </w:p>
        </w:tc>
      </w:tr>
      <w:tr w14:paraId="50D1B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5F9EEA06">
            <w:pPr>
              <w:tabs>
                <w:tab w:val="left" w:pos="2700"/>
              </w:tabs>
              <w:adjustRightInd w:val="0"/>
              <w:snapToGrid w:val="0"/>
              <w:jc w:val="center"/>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10</w:t>
            </w:r>
          </w:p>
        </w:tc>
        <w:tc>
          <w:tcPr>
            <w:tcW w:w="3459" w:type="dxa"/>
            <w:vAlign w:val="center"/>
          </w:tcPr>
          <w:p w14:paraId="468A496D">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合计</w:t>
            </w:r>
          </w:p>
        </w:tc>
        <w:tc>
          <w:tcPr>
            <w:tcW w:w="2385" w:type="dxa"/>
            <w:vAlign w:val="center"/>
          </w:tcPr>
          <w:p w14:paraId="7740615A">
            <w:pPr>
              <w:tabs>
                <w:tab w:val="left" w:pos="2700"/>
              </w:tabs>
              <w:adjustRightInd w:val="0"/>
              <w:snapToGrid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64670</w:t>
            </w:r>
          </w:p>
        </w:tc>
        <w:tc>
          <w:tcPr>
            <w:tcW w:w="2088" w:type="dxa"/>
            <w:vAlign w:val="center"/>
          </w:tcPr>
          <w:p w14:paraId="6D6BDCEF">
            <w:pPr>
              <w:tabs>
                <w:tab w:val="left" w:pos="2700"/>
              </w:tabs>
              <w:adjustRightInd w:val="0"/>
              <w:snapToGrid w:val="0"/>
              <w:jc w:val="center"/>
              <w:rPr>
                <w:rFonts w:ascii="宋体" w:hAnsi="宋体" w:cs="宋体"/>
                <w:color w:val="000000" w:themeColor="text1"/>
                <w:szCs w:val="21"/>
                <w14:textFill>
                  <w14:solidFill>
                    <w14:schemeClr w14:val="tx1"/>
                  </w14:solidFill>
                </w14:textFill>
              </w:rPr>
            </w:pPr>
          </w:p>
        </w:tc>
      </w:tr>
      <w:bookmarkEnd w:id="244"/>
    </w:tbl>
    <w:p w14:paraId="2F520509">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zh-CN" w:eastAsia="zh-CN"/>
          <w14:textFill>
            <w14:solidFill>
              <w14:schemeClr w14:val="tx1"/>
            </w14:solidFill>
          </w14:textFill>
        </w:rPr>
      </w:pPr>
      <w:bookmarkStart w:id="245" w:name="_Toc14887"/>
      <w:bookmarkStart w:id="246" w:name="_Toc12615"/>
      <w:bookmarkStart w:id="247" w:name="_Toc78190030"/>
      <w:bookmarkStart w:id="248" w:name="bookmark3"/>
      <w:bookmarkStart w:id="249" w:name="_Toc4541"/>
      <w:r>
        <w:rPr>
          <w:rFonts w:hint="default" w:ascii="Times New Roman" w:hAnsi="Times New Roman" w:eastAsia="黑体" w:cs="Times New Roman"/>
          <w:color w:val="000000" w:themeColor="text1"/>
          <w:lang w:val="zh-CN"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eastAsia="黑体" w:cs="Times New Roman"/>
          <w:color w:val="000000" w:themeColor="text1"/>
          <w:lang w:val="zh-CN"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6 </w:t>
      </w:r>
      <w:r>
        <w:rPr>
          <w:rFonts w:hint="default" w:ascii="Times New Roman" w:hAnsi="Times New Roman" w:eastAsia="黑体" w:cs="Times New Roman"/>
          <w:color w:val="000000" w:themeColor="text1"/>
          <w:lang w:val="zh-CN" w:eastAsia="zh-CN"/>
          <w14:textFill>
            <w14:solidFill>
              <w14:schemeClr w14:val="tx1"/>
            </w14:solidFill>
          </w14:textFill>
        </w:rPr>
        <w:t>劳动防护用品的配备</w:t>
      </w:r>
      <w:bookmarkEnd w:id="245"/>
      <w:bookmarkEnd w:id="246"/>
      <w:bookmarkEnd w:id="247"/>
    </w:p>
    <w:p w14:paraId="37A9EED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color w:val="000000" w:themeColor="text1"/>
          <w:sz w:val="28"/>
          <w:szCs w:val="28"/>
          <w:lang w:val="zh-CN" w:eastAsia="zh-CN"/>
          <w14:textFill>
            <w14:solidFill>
              <w14:schemeClr w14:val="tx1"/>
            </w14:solidFill>
          </w14:textFill>
        </w:rPr>
      </w:pPr>
      <w:r>
        <w:rPr>
          <w:rFonts w:hint="default" w:ascii="Times New Roman" w:hAnsi="Times New Roman" w:eastAsia="宋体" w:cs="Times New Roman"/>
          <w:color w:val="000000" w:themeColor="text1"/>
          <w:sz w:val="28"/>
          <w:szCs w:val="28"/>
          <w:lang w:val="zh-CN" w:eastAsia="zh-CN"/>
          <w14:textFill>
            <w14:solidFill>
              <w14:schemeClr w14:val="tx1"/>
            </w14:solidFill>
          </w14:textFill>
        </w:rPr>
        <w:t>公司为员工配发了劳动防护用品，能满足安全生产的需要。主要配发了</w:t>
      </w:r>
      <w:r>
        <w:rPr>
          <w:rFonts w:hint="eastAsia" w:ascii="Times New Roman" w:cs="Times New Roman"/>
          <w:color w:val="000000" w:themeColor="text1"/>
          <w:sz w:val="28"/>
          <w:szCs w:val="28"/>
          <w:lang w:val="en-US" w:eastAsia="zh-CN"/>
          <w14:textFill>
            <w14:solidFill>
              <w14:schemeClr w14:val="tx1"/>
            </w14:solidFill>
          </w14:textFill>
        </w:rPr>
        <w:t>安全帽、</w:t>
      </w:r>
      <w:r>
        <w:rPr>
          <w:rFonts w:hint="default" w:ascii="Times New Roman" w:hAnsi="Times New Roman" w:cs="Times New Roman"/>
          <w:color w:val="000000" w:themeColor="text1"/>
          <w:sz w:val="28"/>
          <w:szCs w:val="28"/>
          <w:lang w:val="zh-CN" w:eastAsia="zh-CN"/>
          <w14:textFill>
            <w14:solidFill>
              <w14:schemeClr w14:val="tx1"/>
            </w14:solidFill>
          </w14:textFill>
        </w:rPr>
        <w:t>手套、</w:t>
      </w:r>
      <w:r>
        <w:rPr>
          <w:rFonts w:hint="eastAsia" w:ascii="Times New Roman" w:cs="Times New Roman"/>
          <w:color w:val="000000" w:themeColor="text1"/>
          <w:sz w:val="28"/>
          <w:szCs w:val="28"/>
          <w:lang w:val="en-US" w:eastAsia="zh-CN"/>
          <w14:textFill>
            <w14:solidFill>
              <w14:schemeClr w14:val="tx1"/>
            </w14:solidFill>
          </w14:textFill>
        </w:rPr>
        <w:t>防尘</w:t>
      </w:r>
      <w:r>
        <w:rPr>
          <w:rFonts w:hint="default" w:ascii="Times New Roman" w:hAnsi="Times New Roman" w:cs="Times New Roman"/>
          <w:color w:val="000000" w:themeColor="text1"/>
          <w:sz w:val="28"/>
          <w:szCs w:val="28"/>
          <w:lang w:val="zh-CN" w:eastAsia="zh-CN"/>
          <w14:textFill>
            <w14:solidFill>
              <w14:schemeClr w14:val="tx1"/>
            </w14:solidFill>
          </w14:textFill>
        </w:rPr>
        <w:t>口罩</w:t>
      </w:r>
      <w:r>
        <w:rPr>
          <w:rFonts w:hint="default" w:ascii="Times New Roman" w:hAnsi="Times New Roman" w:eastAsia="宋体" w:cs="Times New Roman"/>
          <w:color w:val="000000" w:themeColor="text1"/>
          <w:sz w:val="28"/>
          <w:szCs w:val="28"/>
          <w:lang w:val="zh-CN" w:eastAsia="zh-CN"/>
          <w14:textFill>
            <w14:solidFill>
              <w14:schemeClr w14:val="tx1"/>
            </w14:solidFill>
          </w14:textFill>
        </w:rPr>
        <w:t>等</w:t>
      </w:r>
      <w:r>
        <w:rPr>
          <w:rFonts w:hint="default" w:ascii="Times New Roman" w:hAnsi="Times New Roman" w:cs="Times New Roman"/>
          <w:color w:val="000000" w:themeColor="text1"/>
          <w:sz w:val="28"/>
          <w:szCs w:val="28"/>
          <w:lang w:val="zh-CN" w:eastAsia="zh-CN"/>
          <w14:textFill>
            <w14:solidFill>
              <w14:schemeClr w14:val="tx1"/>
            </w14:solidFill>
          </w14:textFill>
        </w:rPr>
        <w:t>，</w:t>
      </w:r>
      <w:r>
        <w:rPr>
          <w:rFonts w:hint="default" w:ascii="Times New Roman" w:hAnsi="Times New Roman" w:eastAsia="宋体" w:cs="Times New Roman"/>
          <w:color w:val="000000" w:themeColor="text1"/>
          <w:sz w:val="28"/>
          <w:szCs w:val="28"/>
          <w:lang w:val="zh-CN" w:eastAsia="zh-CN"/>
          <w14:textFill>
            <w14:solidFill>
              <w14:schemeClr w14:val="tx1"/>
            </w14:solidFill>
          </w14:textFill>
        </w:rPr>
        <w:t>并已建立</w:t>
      </w:r>
      <w:r>
        <w:rPr>
          <w:rFonts w:hint="default" w:ascii="Times New Roman" w:hAnsi="Times New Roman" w:cs="Times New Roman"/>
          <w:color w:val="000000" w:themeColor="text1"/>
          <w:sz w:val="28"/>
          <w:szCs w:val="28"/>
          <w:lang w:val="zh-CN" w:eastAsia="zh-CN"/>
          <w14:textFill>
            <w14:solidFill>
              <w14:schemeClr w14:val="tx1"/>
            </w14:solidFill>
          </w14:textFill>
        </w:rPr>
        <w:t>了</w:t>
      </w:r>
      <w:r>
        <w:rPr>
          <w:rFonts w:hint="default" w:ascii="Times New Roman" w:hAnsi="Times New Roman" w:eastAsia="宋体" w:cs="Times New Roman"/>
          <w:color w:val="000000" w:themeColor="text1"/>
          <w:sz w:val="28"/>
          <w:szCs w:val="28"/>
          <w:lang w:val="zh-CN" w:eastAsia="zh-CN"/>
          <w14:textFill>
            <w14:solidFill>
              <w14:schemeClr w14:val="tx1"/>
            </w14:solidFill>
          </w14:textFill>
        </w:rPr>
        <w:t>劳</w:t>
      </w:r>
      <w:r>
        <w:rPr>
          <w:rFonts w:hint="default" w:ascii="Times New Roman" w:hAnsi="Times New Roman" w:cs="Times New Roman"/>
          <w:color w:val="000000" w:themeColor="text1"/>
          <w:sz w:val="28"/>
          <w:szCs w:val="28"/>
          <w:lang w:val="zh-CN" w:eastAsia="zh-CN"/>
          <w14:textFill>
            <w14:solidFill>
              <w14:schemeClr w14:val="tx1"/>
            </w14:solidFill>
          </w14:textFill>
        </w:rPr>
        <w:t>动防护</w:t>
      </w:r>
      <w:r>
        <w:rPr>
          <w:rFonts w:hint="default" w:ascii="Times New Roman" w:hAnsi="Times New Roman" w:eastAsia="宋体" w:cs="Times New Roman"/>
          <w:color w:val="000000" w:themeColor="text1"/>
          <w:sz w:val="28"/>
          <w:szCs w:val="28"/>
          <w:lang w:val="zh-CN" w:eastAsia="zh-CN"/>
          <w14:textFill>
            <w14:solidFill>
              <w14:schemeClr w14:val="tx1"/>
            </w14:solidFill>
          </w14:textFill>
        </w:rPr>
        <w:t>用品发放台账记录</w:t>
      </w:r>
      <w:r>
        <w:rPr>
          <w:rFonts w:hint="default" w:ascii="Times New Roman" w:hAnsi="Times New Roman" w:cs="Times New Roman"/>
          <w:color w:val="000000" w:themeColor="text1"/>
          <w:sz w:val="28"/>
          <w:szCs w:val="28"/>
          <w:lang w:val="zh-CN" w:eastAsia="zh-CN"/>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发放记录详见附件1</w:t>
      </w:r>
      <w:r>
        <w:rPr>
          <w:rFonts w:hint="eastAsia" w:asci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eastAsia="宋体" w:cs="Times New Roman"/>
          <w:color w:val="000000" w:themeColor="text1"/>
          <w:sz w:val="28"/>
          <w:szCs w:val="28"/>
          <w:lang w:val="zh-CN" w:eastAsia="zh-CN"/>
          <w14:textFill>
            <w14:solidFill>
              <w14:schemeClr w14:val="tx1"/>
            </w14:solidFill>
          </w14:textFill>
        </w:rPr>
        <w:t>。</w:t>
      </w:r>
    </w:p>
    <w:p w14:paraId="11572F56">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eastAsia="黑体" w:cs="Times New Roman"/>
          <w:color w:val="000000" w:themeColor="text1"/>
          <w:lang w:val="zh-CN" w:eastAsia="zh-CN"/>
          <w14:textFill>
            <w14:solidFill>
              <w14:schemeClr w14:val="tx1"/>
            </w14:solidFill>
          </w14:textFill>
        </w:rPr>
      </w:pPr>
      <w:bookmarkStart w:id="250" w:name="_Toc23375"/>
      <w:r>
        <w:rPr>
          <w:rFonts w:hint="eastAsia" w:ascii="Times New Roman" w:hAnsi="Times New Roman" w:eastAsia="黑体" w:cs="Times New Roman"/>
          <w:color w:val="000000" w:themeColor="text1"/>
          <w:lang w:val="zh-CN"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eastAsia="黑体" w:cs="Times New Roman"/>
          <w:color w:val="000000" w:themeColor="text1"/>
          <w:lang w:val="zh-CN"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7 </w:t>
      </w:r>
      <w:r>
        <w:rPr>
          <w:rFonts w:hint="eastAsia" w:ascii="Times New Roman" w:hAnsi="Times New Roman" w:eastAsia="黑体" w:cs="Times New Roman"/>
          <w:color w:val="000000" w:themeColor="text1"/>
          <w:lang w:val="zh-CN" w:eastAsia="zh-CN"/>
          <w14:textFill>
            <w14:solidFill>
              <w14:schemeClr w14:val="tx1"/>
            </w14:solidFill>
          </w14:textFill>
        </w:rPr>
        <w:t>安全警示、标志</w:t>
      </w:r>
      <w:bookmarkEnd w:id="250"/>
    </w:p>
    <w:p w14:paraId="07BFD63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Times New Roman"/>
          <w:color w:val="000000" w:themeColor="text1"/>
          <w:sz w:val="28"/>
          <w:szCs w:val="28"/>
          <w:lang w:val="zh-CN" w:eastAsia="zh-CN"/>
          <w14:textFill>
            <w14:solidFill>
              <w14:schemeClr w14:val="tx1"/>
            </w14:solidFill>
          </w14:textFill>
        </w:rPr>
      </w:pPr>
      <w:r>
        <w:rPr>
          <w:rFonts w:hint="eastAsia" w:ascii="宋体" w:hAnsi="宋体" w:eastAsia="宋体" w:cs="Times New Roman"/>
          <w:color w:val="000000" w:themeColor="text1"/>
          <w:sz w:val="28"/>
          <w:szCs w:val="28"/>
          <w:lang w:val="zh-CN" w:eastAsia="zh-CN"/>
          <w14:textFill>
            <w14:solidFill>
              <w14:schemeClr w14:val="tx1"/>
            </w14:solidFill>
          </w14:textFill>
        </w:rPr>
        <w:t>该企业在</w:t>
      </w:r>
      <w:r>
        <w:rPr>
          <w:rFonts w:hint="eastAsia" w:hAnsi="宋体" w:cs="Times New Roman"/>
          <w:color w:val="000000" w:themeColor="text1"/>
          <w:sz w:val="28"/>
          <w:szCs w:val="28"/>
          <w:lang w:val="en-US" w:eastAsia="zh-CN"/>
          <w14:textFill>
            <w14:solidFill>
              <w14:schemeClr w14:val="tx1"/>
            </w14:solidFill>
          </w14:textFill>
        </w:rPr>
        <w:t>生产区</w:t>
      </w:r>
      <w:r>
        <w:rPr>
          <w:rFonts w:hint="eastAsia" w:ascii="宋体" w:hAnsi="宋体" w:eastAsia="宋体" w:cs="Times New Roman"/>
          <w:color w:val="000000" w:themeColor="text1"/>
          <w:sz w:val="28"/>
          <w:szCs w:val="28"/>
          <w:lang w:val="zh-CN" w:eastAsia="zh-CN"/>
          <w14:textFill>
            <w14:solidFill>
              <w14:schemeClr w14:val="tx1"/>
            </w14:solidFill>
          </w14:textFill>
        </w:rPr>
        <w:t>设置了</w:t>
      </w:r>
      <w:r>
        <w:rPr>
          <w:rFonts w:hint="eastAsia" w:hAnsi="宋体" w:cs="Times New Roman"/>
          <w:color w:val="000000" w:themeColor="text1"/>
          <w:sz w:val="28"/>
          <w:szCs w:val="28"/>
          <w:lang w:val="zh-CN" w:eastAsia="zh-CN"/>
          <w14:textFill>
            <w14:solidFill>
              <w14:schemeClr w14:val="tx1"/>
            </w14:solidFill>
          </w14:textFill>
        </w:rPr>
        <w:t>“</w:t>
      </w:r>
      <w:r>
        <w:rPr>
          <w:rFonts w:hint="eastAsia" w:hAnsi="宋体" w:cs="Times New Roman"/>
          <w:color w:val="000000" w:themeColor="text1"/>
          <w:sz w:val="28"/>
          <w:szCs w:val="28"/>
          <w:lang w:val="en-US" w:eastAsia="zh-CN"/>
          <w14:textFill>
            <w14:solidFill>
              <w14:schemeClr w14:val="tx1"/>
            </w14:solidFill>
          </w14:textFill>
        </w:rPr>
        <w:t>有电危险</w:t>
      </w:r>
      <w:r>
        <w:rPr>
          <w:rFonts w:hint="eastAsia" w:hAnsi="宋体" w:cs="Times New Roman"/>
          <w:color w:val="000000" w:themeColor="text1"/>
          <w:sz w:val="28"/>
          <w:szCs w:val="28"/>
          <w:lang w:val="zh-CN" w:eastAsia="zh-CN"/>
          <w14:textFill>
            <w14:solidFill>
              <w14:schemeClr w14:val="tx1"/>
            </w14:solidFill>
          </w14:textFill>
        </w:rPr>
        <w:t>”“必须戴安全帽”“当心</w:t>
      </w:r>
      <w:r>
        <w:rPr>
          <w:rFonts w:hint="eastAsia" w:hAnsi="宋体" w:cs="Times New Roman"/>
          <w:color w:val="000000" w:themeColor="text1"/>
          <w:sz w:val="28"/>
          <w:szCs w:val="28"/>
          <w:lang w:val="en-US" w:eastAsia="zh-CN"/>
          <w14:textFill>
            <w14:solidFill>
              <w14:schemeClr w14:val="tx1"/>
            </w14:solidFill>
          </w14:textFill>
        </w:rPr>
        <w:t>触电</w:t>
      </w:r>
      <w:r>
        <w:rPr>
          <w:rFonts w:hint="eastAsia" w:hAnsi="宋体" w:cs="Times New Roman"/>
          <w:color w:val="000000" w:themeColor="text1"/>
          <w:sz w:val="28"/>
          <w:szCs w:val="28"/>
          <w:lang w:val="zh-CN" w:eastAsia="zh-CN"/>
          <w14:textFill>
            <w14:solidFill>
              <w14:schemeClr w14:val="tx1"/>
            </w14:solidFill>
          </w14:textFill>
        </w:rPr>
        <w:t>”“当心车辆”</w:t>
      </w:r>
      <w:r>
        <w:rPr>
          <w:rFonts w:hint="eastAsia" w:ascii="宋体" w:hAnsi="宋体" w:eastAsia="宋体" w:cs="Times New Roman"/>
          <w:color w:val="000000" w:themeColor="text1"/>
          <w:sz w:val="28"/>
          <w:szCs w:val="28"/>
          <w:lang w:val="zh-CN" w:eastAsia="zh-CN"/>
          <w14:textFill>
            <w14:solidFill>
              <w14:schemeClr w14:val="tx1"/>
            </w14:solidFill>
          </w14:textFill>
        </w:rPr>
        <w:t>“注意安全”“当心机械伤</w:t>
      </w:r>
      <w:r>
        <w:rPr>
          <w:rFonts w:hint="eastAsia" w:hAnsi="宋体" w:cs="Times New Roman"/>
          <w:color w:val="000000" w:themeColor="text1"/>
          <w:sz w:val="28"/>
          <w:szCs w:val="28"/>
          <w:lang w:val="en-US" w:eastAsia="zh-CN"/>
          <w14:textFill>
            <w14:solidFill>
              <w14:schemeClr w14:val="tx1"/>
            </w14:solidFill>
          </w14:textFill>
        </w:rPr>
        <w:t>人</w:t>
      </w:r>
      <w:r>
        <w:rPr>
          <w:rFonts w:hint="eastAsia" w:ascii="宋体" w:hAnsi="宋体" w:eastAsia="宋体" w:cs="Times New Roman"/>
          <w:color w:val="000000" w:themeColor="text1"/>
          <w:sz w:val="28"/>
          <w:szCs w:val="28"/>
          <w:lang w:val="zh-CN" w:eastAsia="zh-CN"/>
          <w14:textFill>
            <w14:solidFill>
              <w14:schemeClr w14:val="tx1"/>
            </w14:solidFill>
          </w14:textFill>
        </w:rPr>
        <w:t>”“当心</w:t>
      </w:r>
      <w:r>
        <w:rPr>
          <w:rFonts w:hint="eastAsia" w:hAnsi="宋体" w:cs="Times New Roman"/>
          <w:color w:val="000000" w:themeColor="text1"/>
          <w:sz w:val="28"/>
          <w:szCs w:val="28"/>
          <w:lang w:val="zh-CN" w:eastAsia="zh-CN"/>
          <w14:textFill>
            <w14:solidFill>
              <w14:schemeClr w14:val="tx1"/>
            </w14:solidFill>
          </w14:textFill>
        </w:rPr>
        <w:t>落</w:t>
      </w:r>
      <w:r>
        <w:rPr>
          <w:rFonts w:hint="eastAsia" w:ascii="宋体" w:hAnsi="宋体" w:eastAsia="宋体" w:cs="Times New Roman"/>
          <w:color w:val="000000" w:themeColor="text1"/>
          <w:sz w:val="28"/>
          <w:szCs w:val="28"/>
          <w:lang w:val="zh-CN" w:eastAsia="zh-CN"/>
          <w14:textFill>
            <w14:solidFill>
              <w14:schemeClr w14:val="tx1"/>
            </w14:solidFill>
          </w14:textFill>
        </w:rPr>
        <w:t>物”</w:t>
      </w:r>
      <w:r>
        <w:rPr>
          <w:rFonts w:hint="eastAsia" w:hAnsi="宋体" w:cs="Times New Roman"/>
          <w:color w:val="000000" w:themeColor="text1"/>
          <w:sz w:val="28"/>
          <w:szCs w:val="28"/>
          <w:lang w:val="zh-CN" w:eastAsia="zh-CN"/>
          <w14:textFill>
            <w14:solidFill>
              <w14:schemeClr w14:val="tx1"/>
            </w14:solidFill>
          </w14:textFill>
        </w:rPr>
        <w:t>等</w:t>
      </w:r>
      <w:r>
        <w:rPr>
          <w:rFonts w:hint="eastAsia" w:ascii="宋体" w:hAnsi="宋体" w:eastAsia="宋体" w:cs="Times New Roman"/>
          <w:color w:val="000000" w:themeColor="text1"/>
          <w:sz w:val="28"/>
          <w:szCs w:val="28"/>
          <w:lang w:val="zh-CN" w:eastAsia="zh-CN"/>
          <w14:textFill>
            <w14:solidFill>
              <w14:schemeClr w14:val="tx1"/>
            </w14:solidFill>
          </w14:textFill>
        </w:rPr>
        <w:t>安全警示标志。</w:t>
      </w:r>
    </w:p>
    <w:p w14:paraId="21616141">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sz w:val="28"/>
          <w:szCs w:val="28"/>
          <w14:textFill>
            <w14:solidFill>
              <w14:schemeClr w14:val="tx1"/>
            </w14:solidFill>
          </w14:textFill>
        </w:rPr>
      </w:pPr>
      <w:bookmarkStart w:id="251" w:name="_Toc7873"/>
      <w:bookmarkStart w:id="252" w:name="_Toc20469"/>
      <w:r>
        <w:rPr>
          <w:rFonts w:hint="eastAsia" w:ascii="Times New Roman" w:hAnsi="Times New Roman" w:eastAsia="黑体" w:cs="Times New Roman"/>
          <w:color w:val="000000" w:themeColor="text1"/>
          <w:lang w:val="zh-CN"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eastAsia="黑体" w:cs="Times New Roman"/>
          <w:color w:val="000000" w:themeColor="text1"/>
          <w:lang w:val="zh-CN"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8 </w:t>
      </w:r>
      <w:r>
        <w:rPr>
          <w:rFonts w:hint="eastAsia" w:ascii="Times New Roman" w:hAnsi="Times New Roman" w:eastAsia="黑体" w:cs="Times New Roman"/>
          <w:color w:val="000000" w:themeColor="text1"/>
          <w:lang w:val="zh-CN" w:eastAsia="zh-CN"/>
          <w14:textFill>
            <w14:solidFill>
              <w14:schemeClr w14:val="tx1"/>
            </w14:solidFill>
          </w14:textFill>
        </w:rPr>
        <w:t>应急救援预案</w:t>
      </w:r>
      <w:bookmarkEnd w:id="248"/>
      <w:bookmarkEnd w:id="249"/>
      <w:bookmarkEnd w:id="251"/>
      <w:bookmarkEnd w:id="252"/>
    </w:p>
    <w:p w14:paraId="6A22442C">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该企业已编制了《</w:t>
      </w:r>
      <w:r>
        <w:rPr>
          <w:rFonts w:hint="eastAsia" w:ascii="宋体" w:hAnsi="宋体" w:eastAsia="宋体" w:cs="宋体"/>
          <w:color w:val="000000" w:themeColor="text1"/>
          <w:sz w:val="28"/>
          <w:szCs w:val="28"/>
          <w:lang w:val="en-US" w:eastAsia="zh-CN"/>
          <w14:textFill>
            <w14:solidFill>
              <w14:schemeClr w14:val="tx1"/>
            </w14:solidFill>
          </w14:textFill>
        </w:rPr>
        <w:t>牟定乾泰建材有限公司</w:t>
      </w:r>
      <w:r>
        <w:rPr>
          <w:rFonts w:hint="eastAsia" w:ascii="宋体" w:hAnsi="宋体" w:eastAsia="宋体" w:cs="宋体"/>
          <w:color w:val="000000" w:themeColor="text1"/>
          <w:sz w:val="28"/>
          <w:szCs w:val="28"/>
          <w14:textFill>
            <w14:solidFill>
              <w14:schemeClr w14:val="tx1"/>
            </w14:solidFill>
          </w14:textFill>
        </w:rPr>
        <w:t>生产安全事故应急预案》，预案中明确了应急救援领导小组及职责和分工、事故的应急措施等内容</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企业根据需要，配备了应急物资。</w:t>
      </w:r>
      <w:r>
        <w:rPr>
          <w:rFonts w:hint="eastAsia" w:ascii="宋体" w:hAnsi="宋体" w:eastAsia="宋体" w:cs="宋体"/>
          <w:color w:val="000000" w:themeColor="text1"/>
          <w:sz w:val="28"/>
          <w:szCs w:val="28"/>
          <w:lang w:val="en-US" w:eastAsia="zh-CN"/>
          <w14:textFill>
            <w14:solidFill>
              <w14:schemeClr w14:val="tx1"/>
            </w14:solidFill>
          </w14:textFill>
        </w:rPr>
        <w:t>并开展了应急预案的学习培训和演练，演练记录详见附件15</w:t>
      </w:r>
      <w:r>
        <w:rPr>
          <w:rFonts w:hint="eastAsia" w:ascii="宋体" w:hAnsi="宋体" w:eastAsia="宋体" w:cs="宋体"/>
          <w:color w:val="000000" w:themeColor="text1"/>
          <w:sz w:val="28"/>
          <w:szCs w:val="28"/>
          <w14:textFill>
            <w14:solidFill>
              <w14:schemeClr w14:val="tx1"/>
            </w14:solidFill>
          </w14:textFill>
        </w:rPr>
        <w:t>。</w:t>
      </w:r>
    </w:p>
    <w:p w14:paraId="288B753C">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该企业的应急预案已经过专家评审</w:t>
      </w:r>
      <w:r>
        <w:rPr>
          <w:rFonts w:hint="eastAsia" w:hAnsi="宋体" w:cs="宋体"/>
          <w:color w:val="000000" w:themeColor="text1"/>
          <w:sz w:val="28"/>
          <w:szCs w:val="28"/>
          <w:lang w:val="en-US" w:eastAsia="zh-CN"/>
          <w14:textFill>
            <w14:solidFill>
              <w14:schemeClr w14:val="tx1"/>
            </w14:solidFill>
          </w14:textFill>
        </w:rPr>
        <w:t>后</w:t>
      </w:r>
      <w:r>
        <w:rPr>
          <w:rFonts w:hint="eastAsia" w:ascii="宋体" w:hAnsi="宋体" w:eastAsia="宋体" w:cs="宋体"/>
          <w:color w:val="000000" w:themeColor="text1"/>
          <w:sz w:val="28"/>
          <w:szCs w:val="28"/>
          <w14:textFill>
            <w14:solidFill>
              <w14:schemeClr w14:val="tx1"/>
            </w14:solidFill>
          </w14:textFill>
        </w:rPr>
        <w:t>，于</w:t>
      </w:r>
      <w:r>
        <w:rPr>
          <w:rFonts w:hint="eastAsia" w:ascii="宋体" w:hAnsi="宋体" w:eastAsia="宋体" w:cs="宋体"/>
          <w:color w:val="000000" w:themeColor="text1"/>
          <w:sz w:val="28"/>
          <w:szCs w:val="28"/>
          <w:highlight w:val="none"/>
          <w14:textFill>
            <w14:solidFill>
              <w14:schemeClr w14:val="tx1"/>
            </w14:solidFill>
          </w14:textFill>
        </w:rPr>
        <w:t>202</w:t>
      </w:r>
      <w:r>
        <w:rPr>
          <w:rFonts w:hint="eastAsia" w:ascii="宋体" w:hAnsi="宋体" w:eastAsia="宋体" w:cs="宋体"/>
          <w:color w:val="000000" w:themeColor="text1"/>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14:textFill>
            <w14:solidFill>
              <w14:schemeClr w14:val="tx1"/>
            </w14:solidFill>
          </w14:textFill>
        </w:rPr>
        <w:t>年</w:t>
      </w:r>
      <w:r>
        <w:rPr>
          <w:rFonts w:hint="eastAsia" w:ascii="宋体" w:hAnsi="宋体" w:eastAsia="宋体" w:cs="宋体"/>
          <w:color w:val="000000" w:themeColor="text1"/>
          <w:sz w:val="28"/>
          <w:szCs w:val="28"/>
          <w:highlight w:val="none"/>
          <w:lang w:val="en-US" w:eastAsia="zh-CN"/>
          <w14:textFill>
            <w14:solidFill>
              <w14:schemeClr w14:val="tx1"/>
            </w14:solidFill>
          </w14:textFill>
        </w:rPr>
        <w:t>09</w:t>
      </w:r>
      <w:r>
        <w:rPr>
          <w:rFonts w:hint="eastAsia" w:ascii="宋体" w:hAnsi="宋体" w:eastAsia="宋体" w:cs="宋体"/>
          <w:color w:val="000000" w:themeColor="text1"/>
          <w:sz w:val="28"/>
          <w:szCs w:val="28"/>
          <w:highlight w:val="none"/>
          <w14:textFill>
            <w14:solidFill>
              <w14:schemeClr w14:val="tx1"/>
            </w14:solidFill>
          </w14:textFill>
        </w:rPr>
        <w:t>月</w:t>
      </w:r>
      <w:r>
        <w:rPr>
          <w:rFonts w:hint="eastAsia" w:ascii="宋体" w:hAnsi="宋体" w:eastAsia="宋体" w:cs="宋体"/>
          <w:color w:val="000000" w:themeColor="text1"/>
          <w:sz w:val="28"/>
          <w:szCs w:val="28"/>
          <w:highlight w:val="none"/>
          <w:lang w:val="en-US" w:eastAsia="zh-CN"/>
          <w14:textFill>
            <w14:solidFill>
              <w14:schemeClr w14:val="tx1"/>
            </w14:solidFill>
          </w14:textFill>
        </w:rPr>
        <w:t>09</w:t>
      </w:r>
      <w:r>
        <w:rPr>
          <w:rFonts w:hint="eastAsia" w:ascii="宋体" w:hAnsi="宋体" w:eastAsia="宋体" w:cs="宋体"/>
          <w:color w:val="000000" w:themeColor="text1"/>
          <w:sz w:val="28"/>
          <w:szCs w:val="28"/>
          <w:highlight w:val="none"/>
          <w14:textFill>
            <w14:solidFill>
              <w14:schemeClr w14:val="tx1"/>
            </w14:solidFill>
          </w14:textFill>
        </w:rPr>
        <w:t>日到</w:t>
      </w:r>
      <w:r>
        <w:rPr>
          <w:rFonts w:hint="eastAsia" w:ascii="宋体" w:hAnsi="宋体" w:eastAsia="宋体" w:cs="宋体"/>
          <w:color w:val="000000" w:themeColor="text1"/>
          <w:sz w:val="28"/>
          <w:szCs w:val="28"/>
          <w:lang w:val="en-US" w:eastAsia="zh-CN"/>
          <w14:textFill>
            <w14:solidFill>
              <w14:schemeClr w14:val="tx1"/>
            </w14:solidFill>
          </w14:textFill>
        </w:rPr>
        <w:t>牟定县</w:t>
      </w:r>
      <w:r>
        <w:rPr>
          <w:rFonts w:hint="eastAsia" w:ascii="宋体" w:hAnsi="宋体" w:eastAsia="宋体" w:cs="宋体"/>
          <w:color w:val="000000" w:themeColor="text1"/>
          <w:sz w:val="28"/>
          <w:szCs w:val="28"/>
          <w14:textFill>
            <w14:solidFill>
              <w14:schemeClr w14:val="tx1"/>
            </w14:solidFill>
          </w14:textFill>
        </w:rPr>
        <w:t>应急管理局进行备案，备案编号：</w:t>
      </w:r>
      <w:r>
        <w:rPr>
          <w:rFonts w:hint="eastAsia" w:ascii="宋体" w:hAnsi="宋体" w:eastAsia="宋体" w:cs="宋体"/>
          <w:color w:val="000000" w:themeColor="text1"/>
          <w:sz w:val="28"/>
          <w:szCs w:val="28"/>
          <w:lang w:val="en-US" w:eastAsia="zh-CN"/>
          <w14:textFill>
            <w14:solidFill>
              <w14:schemeClr w14:val="tx1"/>
            </w14:solidFill>
          </w14:textFill>
        </w:rPr>
        <w:t>20240909，详见附件10</w:t>
      </w:r>
      <w:r>
        <w:rPr>
          <w:rFonts w:hint="eastAsia" w:ascii="宋体" w:hAnsi="宋体" w:eastAsia="宋体" w:cs="宋体"/>
          <w:color w:val="000000" w:themeColor="text1"/>
          <w:sz w:val="28"/>
          <w:szCs w:val="28"/>
          <w14:textFill>
            <w14:solidFill>
              <w14:schemeClr w14:val="tx1"/>
            </w14:solidFill>
          </w14:textFill>
        </w:rPr>
        <w:t>。</w:t>
      </w:r>
    </w:p>
    <w:p w14:paraId="6106DB7B">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eastAsia="黑体" w:cs="Times New Roman"/>
          <w:color w:val="000000" w:themeColor="text1"/>
          <w:lang w:val="zh-CN" w:eastAsia="zh-CN"/>
          <w14:textFill>
            <w14:solidFill>
              <w14:schemeClr w14:val="tx1"/>
            </w14:solidFill>
          </w14:textFill>
        </w:rPr>
      </w:pPr>
      <w:bookmarkStart w:id="253" w:name="_Toc313524421"/>
      <w:bookmarkStart w:id="254" w:name="_Toc341693595"/>
      <w:bookmarkStart w:id="255" w:name="_Toc314143767"/>
      <w:bookmarkStart w:id="256" w:name="_Toc314238227"/>
      <w:bookmarkStart w:id="257" w:name="_Toc3755"/>
      <w:bookmarkStart w:id="258" w:name="_Toc18844"/>
      <w:bookmarkStart w:id="259" w:name="_Toc20000"/>
      <w:r>
        <w:rPr>
          <w:rFonts w:hint="eastAsia" w:ascii="Times New Roman" w:hAnsi="Times New Roman" w:eastAsia="黑体" w:cs="Times New Roman"/>
          <w:color w:val="000000" w:themeColor="text1"/>
          <w:lang w:val="zh-CN"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eastAsia="黑体" w:cs="Times New Roman"/>
          <w:color w:val="000000" w:themeColor="text1"/>
          <w:lang w:val="zh-CN" w:eastAsia="zh-CN"/>
          <w14:textFill>
            <w14:solidFill>
              <w14:schemeClr w14:val="tx1"/>
            </w14:solidFill>
          </w14:textFill>
        </w:rPr>
        <w:t>.</w:t>
      </w:r>
      <w:bookmarkEnd w:id="253"/>
      <w:bookmarkEnd w:id="254"/>
      <w:bookmarkEnd w:id="255"/>
      <w:bookmarkEnd w:id="256"/>
      <w:r>
        <w:rPr>
          <w:rFonts w:hint="eastAsia" w:ascii="Times New Roman" w:hAnsi="Times New Roman" w:cs="Times New Roman"/>
          <w:color w:val="000000" w:themeColor="text1"/>
          <w:lang w:val="en-US" w:eastAsia="zh-CN"/>
          <w14:textFill>
            <w14:solidFill>
              <w14:schemeClr w14:val="tx1"/>
            </w14:solidFill>
          </w14:textFill>
        </w:rPr>
        <w:t xml:space="preserve">9 </w:t>
      </w:r>
      <w:r>
        <w:rPr>
          <w:rFonts w:hint="eastAsia" w:ascii="Times New Roman" w:hAnsi="Times New Roman" w:eastAsia="黑体" w:cs="Times New Roman"/>
          <w:color w:val="000000" w:themeColor="text1"/>
          <w:lang w:val="zh-CN" w:eastAsia="zh-CN"/>
          <w14:textFill>
            <w14:solidFill>
              <w14:schemeClr w14:val="tx1"/>
            </w14:solidFill>
          </w14:textFill>
        </w:rPr>
        <w:t>保险缴纳情况</w:t>
      </w:r>
      <w:bookmarkEnd w:id="257"/>
      <w:bookmarkEnd w:id="258"/>
      <w:bookmarkEnd w:id="259"/>
    </w:p>
    <w:p w14:paraId="1B15B86D">
      <w:pPr>
        <w:keepNext w:val="0"/>
        <w:keepLines w:val="0"/>
        <w:pageBreakBefore w:val="0"/>
        <w:widowControl w:val="0"/>
        <w:tabs>
          <w:tab w:val="center" w:pos="4156"/>
          <w:tab w:val="left" w:pos="6600"/>
        </w:tabs>
        <w:kinsoku/>
        <w:wordWrap/>
        <w:overflowPunct/>
        <w:topLinePunct w:val="0"/>
        <w:autoSpaceDE/>
        <w:autoSpaceDN/>
        <w:bidi w:val="0"/>
        <w:adjustRightInd/>
        <w:snapToGrid/>
        <w:spacing w:line="520" w:lineRule="exact"/>
        <w:ind w:firstLine="560" w:firstLineChars="200"/>
        <w:jc w:val="left"/>
        <w:textAlignment w:val="auto"/>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已购买工伤保险</w:t>
      </w:r>
      <w:r>
        <w:rPr>
          <w:rFonts w:hint="eastAsia"/>
          <w:color w:val="000000" w:themeColor="text1"/>
          <w:sz w:val="28"/>
          <w:szCs w:val="28"/>
          <w14:textFill>
            <w14:solidFill>
              <w14:schemeClr w14:val="tx1"/>
            </w14:solidFill>
          </w14:textFill>
        </w:rPr>
        <w:t>，参保凭证详见附件</w:t>
      </w:r>
      <w:r>
        <w:rPr>
          <w:rFonts w:hint="eastAsia"/>
          <w:color w:val="000000" w:themeColor="text1"/>
          <w:sz w:val="28"/>
          <w:szCs w:val="28"/>
          <w:lang w:val="en-US" w:eastAsia="zh-CN"/>
          <w14:textFill>
            <w14:solidFill>
              <w14:schemeClr w14:val="tx1"/>
            </w14:solidFill>
          </w14:textFill>
        </w:rPr>
        <w:t>8</w:t>
      </w:r>
      <w:r>
        <w:rPr>
          <w:color w:val="000000" w:themeColor="text1"/>
          <w:sz w:val="28"/>
          <w:szCs w:val="28"/>
          <w14:textFill>
            <w14:solidFill>
              <w14:schemeClr w14:val="tx1"/>
            </w14:solidFill>
          </w14:textFill>
        </w:rPr>
        <w:t>。</w:t>
      </w:r>
    </w:p>
    <w:p w14:paraId="07E60B57">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eastAsia="黑体" w:cs="Times New Roman"/>
          <w:color w:val="000000" w:themeColor="text1"/>
          <w:lang w:val="zh-CN" w:eastAsia="zh-CN"/>
          <w14:textFill>
            <w14:solidFill>
              <w14:schemeClr w14:val="tx1"/>
            </w14:solidFill>
          </w14:textFill>
        </w:rPr>
      </w:pPr>
      <w:bookmarkStart w:id="260" w:name="_Toc18323"/>
      <w:r>
        <w:rPr>
          <w:rFonts w:hint="eastAsia" w:ascii="Times New Roman" w:hAnsi="Times New Roman" w:eastAsia="黑体" w:cs="Times New Roman"/>
          <w:color w:val="000000" w:themeColor="text1"/>
          <w:lang w:val="zh-CN"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eastAsia="黑体" w:cs="Times New Roman"/>
          <w:color w:val="000000" w:themeColor="text1"/>
          <w:lang w:val="zh-CN" w:eastAsia="zh-CN"/>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0</w:t>
      </w:r>
      <w:r>
        <w:rPr>
          <w:rFonts w:hint="eastAsia" w:ascii="Times New Roman" w:hAnsi="Times New Roman" w:eastAsia="黑体" w:cs="Times New Roman"/>
          <w:color w:val="000000" w:themeColor="text1"/>
          <w:lang w:val="zh-CN" w:eastAsia="zh-CN"/>
          <w14:textFill>
            <w14:solidFill>
              <w14:schemeClr w14:val="tx1"/>
            </w14:solidFill>
          </w14:textFill>
        </w:rPr>
        <w:t>有限空间作业情况</w:t>
      </w:r>
      <w:bookmarkEnd w:id="260"/>
    </w:p>
    <w:p w14:paraId="11FF16E6">
      <w:pPr>
        <w:keepNext w:val="0"/>
        <w:keepLines w:val="0"/>
        <w:pageBreakBefore w:val="0"/>
        <w:widowControl w:val="0"/>
        <w:tabs>
          <w:tab w:val="center" w:pos="4156"/>
          <w:tab w:val="left" w:pos="6600"/>
        </w:tabs>
        <w:kinsoku/>
        <w:wordWrap/>
        <w:overflowPunct/>
        <w:topLinePunct w:val="0"/>
        <w:autoSpaceDE/>
        <w:autoSpaceDN/>
        <w:bidi w:val="0"/>
        <w:adjustRightInd/>
        <w:snapToGrid/>
        <w:spacing w:line="520" w:lineRule="exact"/>
        <w:ind w:firstLine="560" w:firstLineChars="200"/>
        <w:jc w:val="both"/>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本公司涉及的有限空间</w:t>
      </w:r>
      <w:r>
        <w:rPr>
          <w:rFonts w:hint="eastAsia"/>
          <w:color w:val="000000" w:themeColor="text1"/>
          <w:sz w:val="28"/>
          <w:szCs w:val="28"/>
          <w:lang w:val="en-US" w:eastAsia="zh-CN"/>
          <w14:textFill>
            <w14:solidFill>
              <w14:schemeClr w14:val="tx1"/>
            </w14:solidFill>
          </w14:textFill>
        </w:rPr>
        <w:t>作业</w:t>
      </w:r>
      <w:r>
        <w:rPr>
          <w:rFonts w:hint="eastAsia"/>
          <w:color w:val="000000" w:themeColor="text1"/>
          <w:sz w:val="28"/>
          <w:szCs w:val="28"/>
          <w:lang w:eastAsia="zh-CN"/>
          <w14:textFill>
            <w14:solidFill>
              <w14:schemeClr w14:val="tx1"/>
            </w14:solidFill>
          </w14:textFill>
        </w:rPr>
        <w:t>主要包括</w:t>
      </w:r>
      <w:r>
        <w:rPr>
          <w:rFonts w:hint="eastAsia"/>
          <w:color w:val="000000" w:themeColor="text1"/>
          <w:sz w:val="28"/>
          <w:szCs w:val="28"/>
          <w14:textFill>
            <w14:solidFill>
              <w14:schemeClr w14:val="tx1"/>
            </w14:solidFill>
          </w14:textFill>
        </w:rPr>
        <w:t>：</w:t>
      </w:r>
      <w:r>
        <w:rPr>
          <w:rFonts w:hint="eastAsia"/>
          <w:color w:val="000000" w:themeColor="text1"/>
          <w:sz w:val="28"/>
          <w:szCs w:val="28"/>
          <w:lang w:eastAsia="zh-CN"/>
          <w14:textFill>
            <w14:solidFill>
              <w14:schemeClr w14:val="tx1"/>
            </w14:solidFill>
          </w14:textFill>
        </w:rPr>
        <w:t>脱硫塔</w:t>
      </w: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污水处理</w:t>
      </w:r>
      <w:r>
        <w:rPr>
          <w:rFonts w:hint="eastAsia"/>
          <w:color w:val="000000" w:themeColor="text1"/>
          <w:sz w:val="28"/>
          <w:szCs w:val="28"/>
          <w14:textFill>
            <w14:solidFill>
              <w14:schemeClr w14:val="tx1"/>
            </w14:solidFill>
          </w14:textFill>
        </w:rPr>
        <w:t>池</w:t>
      </w:r>
      <w:r>
        <w:rPr>
          <w:rFonts w:hint="eastAsia"/>
          <w:color w:val="000000" w:themeColor="text1"/>
          <w:sz w:val="28"/>
          <w:szCs w:val="28"/>
          <w:lang w:eastAsia="zh-CN"/>
          <w14:textFill>
            <w14:solidFill>
              <w14:schemeClr w14:val="tx1"/>
            </w14:solidFill>
          </w14:textFill>
        </w:rPr>
        <w:t>、隧道窑、</w:t>
      </w:r>
      <w:r>
        <w:rPr>
          <w:rFonts w:hint="eastAsia"/>
          <w:color w:val="000000" w:themeColor="text1"/>
          <w:sz w:val="28"/>
          <w:szCs w:val="28"/>
          <w:lang w:val="en-US" w:eastAsia="zh-CN"/>
          <w14:textFill>
            <w14:solidFill>
              <w14:schemeClr w14:val="tx1"/>
            </w14:solidFill>
          </w14:textFill>
        </w:rPr>
        <w:t>化粪池</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作业人员进入有限空间作业</w:t>
      </w:r>
      <w:r>
        <w:rPr>
          <w:rFonts w:hint="eastAsia"/>
          <w:color w:val="000000" w:themeColor="text1"/>
          <w:sz w:val="28"/>
          <w:szCs w:val="28"/>
          <w:lang w:eastAsia="zh-CN"/>
          <w14:textFill>
            <w14:solidFill>
              <w14:schemeClr w14:val="tx1"/>
            </w14:solidFill>
          </w14:textFill>
        </w:rPr>
        <w:t>时</w:t>
      </w:r>
      <w:r>
        <w:rPr>
          <w:rFonts w:hint="eastAsia"/>
          <w:color w:val="000000" w:themeColor="text1"/>
          <w:sz w:val="28"/>
          <w:szCs w:val="28"/>
          <w14:textFill>
            <w14:solidFill>
              <w14:schemeClr w14:val="tx1"/>
            </w14:solidFill>
          </w14:textFill>
        </w:rPr>
        <w:t>可能</w:t>
      </w:r>
      <w:r>
        <w:rPr>
          <w:rFonts w:hint="eastAsia"/>
          <w:color w:val="000000" w:themeColor="text1"/>
          <w:sz w:val="28"/>
          <w:szCs w:val="28"/>
          <w:lang w:eastAsia="zh-CN"/>
          <w14:textFill>
            <w14:solidFill>
              <w14:schemeClr w14:val="tx1"/>
            </w14:solidFill>
          </w14:textFill>
        </w:rPr>
        <w:t>会</w:t>
      </w:r>
      <w:r>
        <w:rPr>
          <w:rFonts w:hint="eastAsia"/>
          <w:color w:val="000000" w:themeColor="text1"/>
          <w:sz w:val="28"/>
          <w:szCs w:val="28"/>
          <w14:textFill>
            <w14:solidFill>
              <w14:schemeClr w14:val="tx1"/>
            </w14:solidFill>
          </w14:textFill>
        </w:rPr>
        <w:t>发生中毒、窒息等事故。</w:t>
      </w:r>
      <w:r>
        <w:rPr>
          <w:rFonts w:hint="eastAsia"/>
          <w:color w:val="000000" w:themeColor="text1"/>
          <w:sz w:val="28"/>
          <w:szCs w:val="28"/>
          <w:lang w:eastAsia="zh-CN"/>
          <w14:textFill>
            <w14:solidFill>
              <w14:schemeClr w14:val="tx1"/>
            </w14:solidFill>
          </w14:textFill>
        </w:rPr>
        <w:t>进入</w:t>
      </w:r>
      <w:r>
        <w:rPr>
          <w:rFonts w:hint="eastAsia"/>
          <w:color w:val="000000" w:themeColor="text1"/>
          <w:sz w:val="28"/>
          <w:szCs w:val="28"/>
          <w14:textFill>
            <w14:solidFill>
              <w14:schemeClr w14:val="tx1"/>
            </w14:solidFill>
          </w14:textFill>
        </w:rPr>
        <w:t>有限空间作业时严格按照有限空间</w:t>
      </w:r>
      <w:r>
        <w:rPr>
          <w:rFonts w:hint="eastAsia"/>
          <w:color w:val="000000" w:themeColor="text1"/>
          <w:sz w:val="28"/>
          <w:szCs w:val="28"/>
          <w:lang w:eastAsia="zh-CN"/>
          <w14:textFill>
            <w14:solidFill>
              <w14:schemeClr w14:val="tx1"/>
            </w14:solidFill>
          </w14:textFill>
        </w:rPr>
        <w:t>安全</w:t>
      </w:r>
      <w:r>
        <w:rPr>
          <w:rFonts w:hint="eastAsia"/>
          <w:color w:val="000000" w:themeColor="text1"/>
          <w:sz w:val="28"/>
          <w:szCs w:val="28"/>
          <w14:textFill>
            <w14:solidFill>
              <w14:schemeClr w14:val="tx1"/>
            </w14:solidFill>
          </w14:textFill>
        </w:rPr>
        <w:t>操作规程作业，严格执行作业审批制度，未经许可严禁作业</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设置专人监护</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配备适合的个体防护装备，已制定</w:t>
      </w:r>
      <w:r>
        <w:rPr>
          <w:rFonts w:hint="eastAsia"/>
          <w:color w:val="000000" w:themeColor="text1"/>
          <w:sz w:val="28"/>
          <w:szCs w:val="28"/>
          <w:lang w:eastAsia="zh-CN"/>
          <w14:textFill>
            <w14:solidFill>
              <w14:schemeClr w14:val="tx1"/>
            </w14:solidFill>
          </w14:textFill>
        </w:rPr>
        <w:t>相应的管理制度和</w:t>
      </w:r>
      <w:r>
        <w:rPr>
          <w:rFonts w:hint="eastAsia"/>
          <w:color w:val="000000" w:themeColor="text1"/>
          <w:sz w:val="28"/>
          <w:szCs w:val="28"/>
          <w14:textFill>
            <w14:solidFill>
              <w14:schemeClr w14:val="tx1"/>
            </w14:solidFill>
          </w14:textFill>
        </w:rPr>
        <w:t>应急措施，现场配备</w:t>
      </w:r>
      <w:r>
        <w:rPr>
          <w:rFonts w:hint="eastAsia"/>
          <w:color w:val="000000" w:themeColor="text1"/>
          <w:sz w:val="28"/>
          <w:szCs w:val="28"/>
          <w:lang w:eastAsia="zh-CN"/>
          <w14:textFill>
            <w14:solidFill>
              <w14:schemeClr w14:val="tx1"/>
            </w14:solidFill>
          </w14:textFill>
        </w:rPr>
        <w:t>相应的</w:t>
      </w:r>
      <w:r>
        <w:rPr>
          <w:rFonts w:hint="eastAsia"/>
          <w:color w:val="000000" w:themeColor="text1"/>
          <w:sz w:val="28"/>
          <w:szCs w:val="28"/>
          <w14:textFill>
            <w14:solidFill>
              <w14:schemeClr w14:val="tx1"/>
            </w14:solidFill>
          </w14:textFill>
        </w:rPr>
        <w:t>应急装备。</w:t>
      </w:r>
    </w:p>
    <w:p w14:paraId="18248859">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eastAsia="黑体" w:cs="Times New Roman"/>
          <w:color w:val="000000" w:themeColor="text1"/>
          <w:lang w:val="zh-CN" w:eastAsia="zh-CN"/>
          <w14:textFill>
            <w14:solidFill>
              <w14:schemeClr w14:val="tx1"/>
            </w14:solidFill>
          </w14:textFill>
        </w:rPr>
      </w:pPr>
      <w:bookmarkStart w:id="261" w:name="_Toc9850"/>
      <w:bookmarkStart w:id="262" w:name="_Toc30075"/>
      <w:bookmarkStart w:id="263" w:name="_Toc30001378"/>
      <w:bookmarkStart w:id="264" w:name="_Toc8505"/>
      <w:bookmarkStart w:id="265" w:name="_Toc61474400"/>
      <w:r>
        <w:rPr>
          <w:rFonts w:hint="eastAsia" w:ascii="Times New Roman" w:hAnsi="Times New Roman" w:eastAsia="黑体" w:cs="Times New Roman"/>
          <w:color w:val="000000" w:themeColor="text1"/>
          <w:lang w:val="zh-CN"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eastAsia="黑体" w:cs="Times New Roman"/>
          <w:color w:val="000000" w:themeColor="text1"/>
          <w:lang w:val="zh-CN"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11</w:t>
      </w:r>
      <w:r>
        <w:rPr>
          <w:rFonts w:hint="eastAsia" w:ascii="Times New Roman" w:hAnsi="Times New Roman" w:eastAsia="黑体" w:cs="Times New Roman"/>
          <w:color w:val="000000" w:themeColor="text1"/>
          <w:lang w:val="zh-CN" w:eastAsia="zh-CN"/>
          <w14:textFill>
            <w14:solidFill>
              <w14:schemeClr w14:val="tx1"/>
            </w14:solidFill>
          </w14:textFill>
        </w:rPr>
        <w:t>安全生产标准化创建情况</w:t>
      </w:r>
      <w:bookmarkEnd w:id="261"/>
      <w:bookmarkEnd w:id="262"/>
      <w:bookmarkEnd w:id="263"/>
      <w:bookmarkEnd w:id="264"/>
      <w:bookmarkEnd w:id="265"/>
    </w:p>
    <w:p w14:paraId="4DBBDFAF">
      <w:pPr>
        <w:pStyle w:val="193"/>
        <w:widowControl w:val="0"/>
        <w:adjustRightInd w:val="0"/>
        <w:snapToGrid w:val="0"/>
        <w:spacing w:line="500" w:lineRule="exact"/>
        <w:ind w:firstLine="560" w:firstLineChars="200"/>
        <w:rPr>
          <w:rFonts w:hint="eastAsia"/>
          <w:color w:val="000000" w:themeColor="text1"/>
          <w:sz w:val="28"/>
          <w:szCs w:val="28"/>
          <w14:textFill>
            <w14:solidFill>
              <w14:schemeClr w14:val="tx1"/>
            </w14:solidFill>
          </w14:textFill>
        </w:rPr>
      </w:pPr>
      <w:r>
        <w:rPr>
          <w:rFonts w:hint="eastAsia" w:ascii="宋体" w:hAnsi="Times New Roman" w:eastAsia="宋体" w:cs="Times New Roman"/>
          <w:color w:val="000000" w:themeColor="text1"/>
          <w:sz w:val="28"/>
          <w:szCs w:val="28"/>
          <w:lang w:val="en-US" w:eastAsia="zh-CN" w:bidi="ar-SA"/>
          <w14:textFill>
            <w14:solidFill>
              <w14:schemeClr w14:val="tx1"/>
            </w14:solidFill>
          </w14:textFill>
        </w:rPr>
        <w:t>牟定乾泰建材有限公司目前还未开展安全生产标准化创建工作。</w:t>
      </w:r>
    </w:p>
    <w:bookmarkEnd w:id="235"/>
    <w:p w14:paraId="5B0FB141">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eastAsia="黑体" w:cs="Times New Roman"/>
          <w:color w:val="000000" w:themeColor="text1"/>
          <w:lang w:val="en-US" w:eastAsia="zh-CN"/>
          <w14:textFill>
            <w14:solidFill>
              <w14:schemeClr w14:val="tx1"/>
            </w14:solidFill>
          </w14:textFill>
        </w:rPr>
      </w:pPr>
      <w:bookmarkStart w:id="266" w:name="_Toc16947"/>
      <w:bookmarkStart w:id="267" w:name="_Toc16633"/>
      <w:bookmarkStart w:id="268" w:name="_Toc10298"/>
      <w:bookmarkStart w:id="269" w:name="_Toc313453493"/>
      <w:bookmarkStart w:id="270" w:name="_Toc335926184"/>
      <w:r>
        <w:rPr>
          <w:rFonts w:hint="eastAsia" w:ascii="Times New Roman" w:hAnsi="Times New Roman" w:eastAsia="黑体" w:cs="Times New Roman"/>
          <w:color w:val="000000" w:themeColor="text1"/>
          <w:lang w:val="zh-CN"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eastAsia="黑体" w:cs="Times New Roman"/>
          <w:color w:val="000000" w:themeColor="text1"/>
          <w:lang w:val="zh-CN" w:eastAsia="zh-CN"/>
          <w14:textFill>
            <w14:solidFill>
              <w14:schemeClr w14:val="tx1"/>
            </w14:solidFill>
          </w14:textFill>
        </w:rPr>
        <w:t>.</w:t>
      </w:r>
      <w:r>
        <w:rPr>
          <w:rFonts w:hint="eastAsia" w:ascii="Times New Roman" w:hAnsi="Times New Roman" w:eastAsia="黑体" w:cs="Times New Roman"/>
          <w:color w:val="000000" w:themeColor="text1"/>
          <w:lang w:val="en-US" w:eastAsia="zh-CN"/>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2</w:t>
      </w:r>
      <w:r>
        <w:rPr>
          <w:rFonts w:hint="eastAsia" w:ascii="Times New Roman" w:hAnsi="Times New Roman" w:eastAsia="黑体" w:cs="Times New Roman"/>
          <w:color w:val="000000" w:themeColor="text1"/>
          <w:lang w:val="en-US" w:eastAsia="zh-CN"/>
          <w14:textFill>
            <w14:solidFill>
              <w14:schemeClr w14:val="tx1"/>
            </w14:solidFill>
          </w14:textFill>
        </w:rPr>
        <w:t xml:space="preserve"> 安全生产情况</w:t>
      </w:r>
      <w:bookmarkEnd w:id="266"/>
    </w:p>
    <w:p w14:paraId="787D850F">
      <w:pPr>
        <w:keepNext w:val="0"/>
        <w:keepLines w:val="0"/>
        <w:pageBreakBefore w:val="0"/>
        <w:widowControl w:val="0"/>
        <w:tabs>
          <w:tab w:val="center" w:pos="4156"/>
          <w:tab w:val="left" w:pos="6600"/>
        </w:tabs>
        <w:kinsoku/>
        <w:wordWrap/>
        <w:overflowPunct/>
        <w:topLinePunct w:val="0"/>
        <w:autoSpaceDE/>
        <w:autoSpaceDN/>
        <w:bidi w:val="0"/>
        <w:adjustRightInd/>
        <w:snapToGrid/>
        <w:spacing w:line="520" w:lineRule="exact"/>
        <w:ind w:firstLine="560" w:firstLineChars="200"/>
        <w:jc w:val="both"/>
        <w:textAlignment w:val="auto"/>
        <w:rPr>
          <w:rFonts w:hint="default" w:ascii="宋体" w:hAnsi="Times New Roman" w:eastAsia="宋体" w:cs="Times New Roman"/>
          <w:color w:val="000000" w:themeColor="text1"/>
          <w:sz w:val="28"/>
          <w:szCs w:val="28"/>
          <w:lang w:val="en-US" w:eastAsia="zh-CN"/>
          <w14:textFill>
            <w14:solidFill>
              <w14:schemeClr w14:val="tx1"/>
            </w14:solidFill>
          </w14:textFill>
        </w:rPr>
        <w:sectPr>
          <w:footerReference r:id="rId7" w:type="default"/>
          <w:pgSz w:w="11906" w:h="16838"/>
          <w:pgMar w:top="1440" w:right="1800" w:bottom="1440" w:left="1800" w:header="850" w:footer="992" w:gutter="0"/>
          <w:pgNumType w:fmt="decimal"/>
          <w:cols w:space="708" w:num="1"/>
          <w:docGrid w:type="lines" w:linePitch="360" w:charSpace="0"/>
        </w:sectPr>
      </w:pPr>
      <w:r>
        <w:rPr>
          <w:rFonts w:hint="eastAsia" w:ascii="宋体" w:hAnsi="Times New Roman" w:eastAsia="宋体" w:cs="Times New Roman"/>
          <w:color w:val="000000" w:themeColor="text1"/>
          <w:sz w:val="28"/>
          <w:szCs w:val="28"/>
          <w14:textFill>
            <w14:solidFill>
              <w14:schemeClr w14:val="tx1"/>
            </w14:solidFill>
          </w14:textFill>
        </w:rPr>
        <w:t>该项目自建成投产以来，严格按照国家安全生产等法律法规要求进行生产。根据国家法律法规的规定制定了安全生产管理制度，规范了生产工作行为，并严格执行。根据评价组了解及企业介绍，</w:t>
      </w:r>
      <w:r>
        <w:rPr>
          <w:rFonts w:hint="eastAsia" w:ascii="宋体" w:hAnsi="Times New Roman" w:eastAsia="宋体" w:cs="Times New Roman"/>
          <w:color w:val="000000" w:themeColor="text1"/>
          <w:sz w:val="28"/>
          <w:szCs w:val="28"/>
          <w:lang w:val="en-US" w:eastAsia="zh-CN"/>
          <w14:textFill>
            <w14:solidFill>
              <w14:schemeClr w14:val="tx1"/>
            </w14:solidFill>
          </w14:textFill>
        </w:rPr>
        <w:t>公司从建厂之日</w:t>
      </w:r>
      <w:r>
        <w:rPr>
          <w:rFonts w:hint="eastAsia" w:ascii="宋体" w:hAnsi="Times New Roman" w:eastAsia="宋体" w:cs="Times New Roman"/>
          <w:color w:val="000000" w:themeColor="text1"/>
          <w:sz w:val="28"/>
          <w:szCs w:val="28"/>
          <w14:textFill>
            <w14:solidFill>
              <w14:schemeClr w14:val="tx1"/>
            </w14:solidFill>
          </w14:textFill>
        </w:rPr>
        <w:t>至评价基准日</w:t>
      </w:r>
      <w:r>
        <w:rPr>
          <w:rFonts w:hint="eastAsia" w:ascii="宋体" w:hAnsi="Times New Roman" w:eastAsia="宋体" w:cs="Times New Roman"/>
          <w:color w:val="000000" w:themeColor="text1"/>
          <w:sz w:val="28"/>
          <w:szCs w:val="28"/>
          <w:lang w:eastAsia="zh-CN"/>
          <w14:textFill>
            <w14:solidFill>
              <w14:schemeClr w14:val="tx1"/>
            </w14:solidFill>
          </w14:textFill>
        </w:rPr>
        <w:t>，</w:t>
      </w:r>
      <w:r>
        <w:rPr>
          <w:rFonts w:hint="eastAsia" w:ascii="宋体" w:hAnsi="宋体" w:eastAsia="宋体" w:cs="宋体"/>
          <w:color w:val="0000FF"/>
          <w:sz w:val="28"/>
          <w:szCs w:val="28"/>
        </w:rPr>
        <w:t>未发生生产安全事故。</w:t>
      </w:r>
    </w:p>
    <w:p w14:paraId="0F071077">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271" w:name="_Toc14125"/>
      <w:r>
        <w:rPr>
          <w:rFonts w:hint="default" w:ascii="Times New Roman" w:hAnsi="Times New Roman" w:eastAsia="楷体"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 xml:space="preserve">7 </w:t>
      </w:r>
      <w:r>
        <w:rPr>
          <w:rFonts w:hint="default" w:ascii="Times New Roman" w:hAnsi="Times New Roman" w:eastAsia="楷体" w:cs="Times New Roman"/>
          <w:color w:val="000000" w:themeColor="text1"/>
          <w14:textFill>
            <w14:solidFill>
              <w14:schemeClr w14:val="tx1"/>
            </w14:solidFill>
          </w14:textFill>
        </w:rPr>
        <w:t>现场照片</w:t>
      </w:r>
      <w:bookmarkEnd w:id="267"/>
      <w:bookmarkEnd w:id="271"/>
    </w:p>
    <w:tbl>
      <w:tblPr>
        <w:tblStyle w:val="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0"/>
        <w:gridCol w:w="4360"/>
      </w:tblGrid>
      <w:tr w14:paraId="7D7B1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60" w:type="dxa"/>
          </w:tcPr>
          <w:p w14:paraId="44F3F5D1">
            <w:pPr>
              <w:pStyle w:val="68"/>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621280" cy="1907540"/>
                  <wp:effectExtent l="0" t="0" r="0" b="12700"/>
                  <wp:docPr id="26" name="图片 26" descr="c209bf0c9a9013929c08af9b33872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209bf0c9a9013929c08af9b33872b7"/>
                          <pic:cNvPicPr>
                            <a:picLocks noChangeAspect="1"/>
                          </pic:cNvPicPr>
                        </pic:nvPicPr>
                        <pic:blipFill>
                          <a:blip r:embed="rId16"/>
                          <a:stretch>
                            <a:fillRect/>
                          </a:stretch>
                        </pic:blipFill>
                        <pic:spPr>
                          <a:xfrm>
                            <a:off x="0" y="0"/>
                            <a:ext cx="2621280" cy="1907540"/>
                          </a:xfrm>
                          <a:prstGeom prst="rect">
                            <a:avLst/>
                          </a:prstGeom>
                        </pic:spPr>
                      </pic:pic>
                    </a:graphicData>
                  </a:graphic>
                </wp:inline>
              </w:drawing>
            </w:r>
          </w:p>
        </w:tc>
        <w:tc>
          <w:tcPr>
            <w:tcW w:w="4360" w:type="dxa"/>
          </w:tcPr>
          <w:p w14:paraId="579F706D">
            <w:pPr>
              <w:pStyle w:val="68"/>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611755" cy="1958340"/>
                  <wp:effectExtent l="0" t="0" r="9525" b="7620"/>
                  <wp:docPr id="5" name="图片 5" descr="IMG_20240924_111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40924_111815"/>
                          <pic:cNvPicPr>
                            <a:picLocks noChangeAspect="1"/>
                          </pic:cNvPicPr>
                        </pic:nvPicPr>
                        <pic:blipFill>
                          <a:blip r:embed="rId17"/>
                          <a:stretch>
                            <a:fillRect/>
                          </a:stretch>
                        </pic:blipFill>
                        <pic:spPr>
                          <a:xfrm>
                            <a:off x="0" y="0"/>
                            <a:ext cx="2611755" cy="1958340"/>
                          </a:xfrm>
                          <a:prstGeom prst="rect">
                            <a:avLst/>
                          </a:prstGeom>
                        </pic:spPr>
                      </pic:pic>
                    </a:graphicData>
                  </a:graphic>
                </wp:inline>
              </w:drawing>
            </w:r>
          </w:p>
        </w:tc>
      </w:tr>
      <w:tr w14:paraId="4749F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1DFF17CB">
            <w:pPr>
              <w:pStyle w:val="68"/>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default"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厂区航拍图</w:t>
            </w:r>
          </w:p>
        </w:tc>
        <w:tc>
          <w:tcPr>
            <w:tcW w:w="4360" w:type="dxa"/>
          </w:tcPr>
          <w:p w14:paraId="11CDF0FA">
            <w:pPr>
              <w:pStyle w:val="68"/>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eastAsia" w:eastAsia="宋体"/>
                <w:color w:val="000000" w:themeColor="text1"/>
                <w:lang w:eastAsia="zh-CN"/>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原料堆场</w:t>
            </w:r>
          </w:p>
        </w:tc>
      </w:tr>
      <w:tr w14:paraId="419CF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1354B869">
            <w:pPr>
              <w:pStyle w:val="68"/>
              <w:spacing w:line="360" w:lineRule="auto"/>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611755" cy="1958340"/>
                  <wp:effectExtent l="0" t="0" r="9525" b="7620"/>
                  <wp:docPr id="6" name="图片 6" descr="IMG_20240924_112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0240924_112037"/>
                          <pic:cNvPicPr>
                            <a:picLocks noChangeAspect="1"/>
                          </pic:cNvPicPr>
                        </pic:nvPicPr>
                        <pic:blipFill>
                          <a:blip r:embed="rId18"/>
                          <a:stretch>
                            <a:fillRect/>
                          </a:stretch>
                        </pic:blipFill>
                        <pic:spPr>
                          <a:xfrm>
                            <a:off x="0" y="0"/>
                            <a:ext cx="2611755" cy="1958340"/>
                          </a:xfrm>
                          <a:prstGeom prst="rect">
                            <a:avLst/>
                          </a:prstGeom>
                        </pic:spPr>
                      </pic:pic>
                    </a:graphicData>
                  </a:graphic>
                </wp:inline>
              </w:drawing>
            </w:r>
          </w:p>
        </w:tc>
        <w:tc>
          <w:tcPr>
            <w:tcW w:w="4360" w:type="dxa"/>
          </w:tcPr>
          <w:p w14:paraId="04661819">
            <w:pPr>
              <w:pStyle w:val="68"/>
              <w:spacing w:line="360" w:lineRule="auto"/>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613660" cy="1960245"/>
                  <wp:effectExtent l="0" t="0" r="7620" b="5715"/>
                  <wp:docPr id="30" name="图片 30" descr="IMG_20240823_100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IMG_20240823_100446"/>
                          <pic:cNvPicPr>
                            <a:picLocks noChangeAspect="1"/>
                          </pic:cNvPicPr>
                        </pic:nvPicPr>
                        <pic:blipFill>
                          <a:blip r:embed="rId19"/>
                          <a:stretch>
                            <a:fillRect/>
                          </a:stretch>
                        </pic:blipFill>
                        <pic:spPr>
                          <a:xfrm>
                            <a:off x="0" y="0"/>
                            <a:ext cx="2613660" cy="1960245"/>
                          </a:xfrm>
                          <a:prstGeom prst="rect">
                            <a:avLst/>
                          </a:prstGeom>
                        </pic:spPr>
                      </pic:pic>
                    </a:graphicData>
                  </a:graphic>
                </wp:inline>
              </w:drawing>
            </w:r>
          </w:p>
        </w:tc>
      </w:tr>
      <w:tr w14:paraId="23930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0B5DBD43">
            <w:pPr>
              <w:pStyle w:val="68"/>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破碎车间</w:t>
            </w:r>
          </w:p>
        </w:tc>
        <w:tc>
          <w:tcPr>
            <w:tcW w:w="4360" w:type="dxa"/>
          </w:tcPr>
          <w:p w14:paraId="4B8793C1">
            <w:pPr>
              <w:pStyle w:val="68"/>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陈化库</w:t>
            </w:r>
          </w:p>
        </w:tc>
      </w:tr>
      <w:tr w14:paraId="0B9EE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9" w:hRule="atLeast"/>
        </w:trPr>
        <w:tc>
          <w:tcPr>
            <w:tcW w:w="4360" w:type="dxa"/>
          </w:tcPr>
          <w:p w14:paraId="3EF02078">
            <w:pPr>
              <w:pStyle w:val="68"/>
              <w:jc w:val="both"/>
              <w:rPr>
                <w:rFonts w:hint="eastAsia" w:asciiTheme="minorEastAsia" w:hAnsiTheme="minorEastAsia" w:eastAsiaTheme="minorEastAsia"/>
                <w:color w:val="000000" w:themeColor="text1"/>
                <w:lang w:eastAsia="zh-CN"/>
                <w14:textFill>
                  <w14:solidFill>
                    <w14:schemeClr w14:val="tx1"/>
                  </w14:solidFill>
                </w14:textFill>
              </w:rPr>
            </w:pPr>
            <w:r>
              <w:rPr>
                <w:rFonts w:hint="eastAsia" w:asciiTheme="minorEastAsia" w:hAnsiTheme="minorEastAsia" w:eastAsiaTheme="minorEastAsia"/>
                <w:color w:val="000000" w:themeColor="text1"/>
                <w:lang w:eastAsia="zh-CN"/>
                <w14:textFill>
                  <w14:solidFill>
                    <w14:schemeClr w14:val="tx1"/>
                  </w14:solidFill>
                </w14:textFill>
              </w:rPr>
              <w:drawing>
                <wp:anchor distT="0" distB="0" distL="114300" distR="114300" simplePos="0" relativeHeight="251664384" behindDoc="1" locked="0" layoutInCell="1" allowOverlap="1">
                  <wp:simplePos x="0" y="0"/>
                  <wp:positionH relativeFrom="column">
                    <wp:posOffset>13335</wp:posOffset>
                  </wp:positionH>
                  <wp:positionV relativeFrom="paragraph">
                    <wp:posOffset>69850</wp:posOffset>
                  </wp:positionV>
                  <wp:extent cx="2611755" cy="1975485"/>
                  <wp:effectExtent l="0" t="0" r="9525" b="36195"/>
                  <wp:wrapTight wrapText="bothSides">
                    <wp:wrapPolygon>
                      <wp:start x="0" y="0"/>
                      <wp:lineTo x="0" y="21496"/>
                      <wp:lineTo x="21427" y="21496"/>
                      <wp:lineTo x="21427" y="0"/>
                      <wp:lineTo x="0" y="0"/>
                    </wp:wrapPolygon>
                  </wp:wrapTight>
                  <wp:docPr id="1" name="图片 1" descr="IMG_20240924_111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40924_111324"/>
                          <pic:cNvPicPr>
                            <a:picLocks noChangeAspect="1"/>
                          </pic:cNvPicPr>
                        </pic:nvPicPr>
                        <pic:blipFill>
                          <a:blip r:embed="rId20"/>
                          <a:stretch>
                            <a:fillRect/>
                          </a:stretch>
                        </pic:blipFill>
                        <pic:spPr>
                          <a:xfrm>
                            <a:off x="0" y="0"/>
                            <a:ext cx="2611755" cy="1975485"/>
                          </a:xfrm>
                          <a:prstGeom prst="rect">
                            <a:avLst/>
                          </a:prstGeom>
                        </pic:spPr>
                      </pic:pic>
                    </a:graphicData>
                  </a:graphic>
                </wp:anchor>
              </w:drawing>
            </w:r>
          </w:p>
        </w:tc>
        <w:tc>
          <w:tcPr>
            <w:tcW w:w="4360" w:type="dxa"/>
          </w:tcPr>
          <w:p w14:paraId="09A1929F">
            <w:pPr>
              <w:pStyle w:val="68"/>
              <w:spacing w:line="360" w:lineRule="auto"/>
              <w:jc w:val="both"/>
              <w:rPr>
                <w:rFonts w:hint="eastAsia" w:asciiTheme="minorEastAsia" w:hAnsiTheme="minorEastAsia" w:eastAsiaTheme="minorEastAsia"/>
                <w:color w:val="000000" w:themeColor="text1"/>
                <w:lang w:eastAsia="zh-CN"/>
                <w14:textFill>
                  <w14:solidFill>
                    <w14:schemeClr w14:val="tx1"/>
                  </w14:solidFill>
                </w14:textFill>
              </w:rPr>
            </w:pPr>
            <w:r>
              <w:rPr>
                <w:rFonts w:hint="eastAsia" w:asciiTheme="minorEastAsia" w:hAnsiTheme="minorEastAsia" w:eastAsiaTheme="minorEastAsia"/>
                <w:color w:val="000000" w:themeColor="text1"/>
                <w:lang w:eastAsia="zh-CN"/>
                <w14:textFill>
                  <w14:solidFill>
                    <w14:schemeClr w14:val="tx1"/>
                  </w14:solidFill>
                </w14:textFill>
              </w:rPr>
              <w:drawing>
                <wp:inline distT="0" distB="0" distL="114300" distR="114300">
                  <wp:extent cx="2611755" cy="1958340"/>
                  <wp:effectExtent l="0" t="0" r="9525" b="7620"/>
                  <wp:docPr id="31" name="图片 31" descr="IMG_20240823_100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IMG_20240823_100632"/>
                          <pic:cNvPicPr>
                            <a:picLocks noChangeAspect="1"/>
                          </pic:cNvPicPr>
                        </pic:nvPicPr>
                        <pic:blipFill>
                          <a:blip r:embed="rId21"/>
                          <a:stretch>
                            <a:fillRect/>
                          </a:stretch>
                        </pic:blipFill>
                        <pic:spPr>
                          <a:xfrm>
                            <a:off x="0" y="0"/>
                            <a:ext cx="2611755" cy="1958340"/>
                          </a:xfrm>
                          <a:prstGeom prst="rect">
                            <a:avLst/>
                          </a:prstGeom>
                        </pic:spPr>
                      </pic:pic>
                    </a:graphicData>
                  </a:graphic>
                </wp:inline>
              </w:drawing>
            </w:r>
          </w:p>
        </w:tc>
      </w:tr>
      <w:tr w14:paraId="405F7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39336A80">
            <w:pPr>
              <w:pStyle w:val="68"/>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制砖车间</w:t>
            </w:r>
          </w:p>
        </w:tc>
        <w:tc>
          <w:tcPr>
            <w:tcW w:w="4360" w:type="dxa"/>
          </w:tcPr>
          <w:p w14:paraId="292FF985">
            <w:pPr>
              <w:pStyle w:val="68"/>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default"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生坯车道</w:t>
            </w:r>
          </w:p>
        </w:tc>
      </w:tr>
      <w:tr w14:paraId="19FDD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00CCB8DE">
            <w:pPr>
              <w:pStyle w:val="68"/>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both"/>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2611755" cy="1958340"/>
                  <wp:effectExtent l="0" t="0" r="9525" b="7620"/>
                  <wp:docPr id="33" name="图片 33" descr="IMG_20240823_10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IMG_20240823_101402"/>
                          <pic:cNvPicPr>
                            <a:picLocks noChangeAspect="1"/>
                          </pic:cNvPicPr>
                        </pic:nvPicPr>
                        <pic:blipFill>
                          <a:blip r:embed="rId22"/>
                          <a:stretch>
                            <a:fillRect/>
                          </a:stretch>
                        </pic:blipFill>
                        <pic:spPr>
                          <a:xfrm>
                            <a:off x="0" y="0"/>
                            <a:ext cx="2611755" cy="1958340"/>
                          </a:xfrm>
                          <a:prstGeom prst="rect">
                            <a:avLst/>
                          </a:prstGeom>
                        </pic:spPr>
                      </pic:pic>
                    </a:graphicData>
                  </a:graphic>
                </wp:inline>
              </w:drawing>
            </w:r>
          </w:p>
        </w:tc>
        <w:tc>
          <w:tcPr>
            <w:tcW w:w="4360" w:type="dxa"/>
          </w:tcPr>
          <w:p w14:paraId="5D2D4275">
            <w:pPr>
              <w:pStyle w:val="68"/>
              <w:keepNext w:val="0"/>
              <w:keepLines w:val="0"/>
              <w:pageBreakBefore w:val="0"/>
              <w:widowControl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eastAsia="宋体" w:cs="Times New Roman"/>
                <w:color w:val="000000" w:themeColor="text1"/>
                <w:lang w:eastAsia="zh-CN"/>
                <w14:textFill>
                  <w14:solidFill>
                    <w14:schemeClr w14:val="tx1"/>
                  </w14:solidFill>
                </w14:textFill>
              </w:rPr>
              <w:drawing>
                <wp:anchor distT="0" distB="0" distL="114300" distR="114300" simplePos="0" relativeHeight="251665408" behindDoc="1" locked="0" layoutInCell="1" allowOverlap="1">
                  <wp:simplePos x="0" y="0"/>
                  <wp:positionH relativeFrom="column">
                    <wp:posOffset>-28575</wp:posOffset>
                  </wp:positionH>
                  <wp:positionV relativeFrom="paragraph">
                    <wp:posOffset>52705</wp:posOffset>
                  </wp:positionV>
                  <wp:extent cx="2611755" cy="1958340"/>
                  <wp:effectExtent l="0" t="0" r="9525" b="7620"/>
                  <wp:wrapTight wrapText="bothSides">
                    <wp:wrapPolygon>
                      <wp:start x="0" y="0"/>
                      <wp:lineTo x="0" y="21516"/>
                      <wp:lineTo x="21427" y="21516"/>
                      <wp:lineTo x="21427" y="0"/>
                      <wp:lineTo x="0" y="0"/>
                    </wp:wrapPolygon>
                  </wp:wrapTight>
                  <wp:docPr id="12" name="图片 12" descr="IMG_20240924_114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0240924_114110"/>
                          <pic:cNvPicPr>
                            <a:picLocks noChangeAspect="1"/>
                          </pic:cNvPicPr>
                        </pic:nvPicPr>
                        <pic:blipFill>
                          <a:blip r:embed="rId23"/>
                          <a:stretch>
                            <a:fillRect/>
                          </a:stretch>
                        </pic:blipFill>
                        <pic:spPr>
                          <a:xfrm>
                            <a:off x="0" y="0"/>
                            <a:ext cx="2611755" cy="1958340"/>
                          </a:xfrm>
                          <a:prstGeom prst="rect">
                            <a:avLst/>
                          </a:prstGeom>
                        </pic:spPr>
                      </pic:pic>
                    </a:graphicData>
                  </a:graphic>
                </wp:anchor>
              </w:drawing>
            </w:r>
          </w:p>
        </w:tc>
      </w:tr>
      <w:tr w14:paraId="686D8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19CBE05A">
            <w:pPr>
              <w:pStyle w:val="68"/>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隧道窑</w:t>
            </w:r>
          </w:p>
        </w:tc>
        <w:tc>
          <w:tcPr>
            <w:tcW w:w="4360" w:type="dxa"/>
          </w:tcPr>
          <w:p w14:paraId="28655185">
            <w:pPr>
              <w:pStyle w:val="68"/>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窑顶</w:t>
            </w:r>
          </w:p>
        </w:tc>
      </w:tr>
      <w:tr w14:paraId="09C91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2DB02260">
            <w:pPr>
              <w:pStyle w:val="68"/>
              <w:spacing w:line="360" w:lineRule="auto"/>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618740" cy="1609725"/>
                  <wp:effectExtent l="0" t="0" r="2540" b="5715"/>
                  <wp:docPr id="21" name="图片 21" descr="b7448c735a36386286c702faa50bf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b7448c735a36386286c702faa50bf8b"/>
                          <pic:cNvPicPr>
                            <a:picLocks noChangeAspect="1"/>
                          </pic:cNvPicPr>
                        </pic:nvPicPr>
                        <pic:blipFill>
                          <a:blip r:embed="rId24"/>
                          <a:stretch>
                            <a:fillRect/>
                          </a:stretch>
                        </pic:blipFill>
                        <pic:spPr>
                          <a:xfrm>
                            <a:off x="0" y="0"/>
                            <a:ext cx="2618740" cy="1609725"/>
                          </a:xfrm>
                          <a:prstGeom prst="rect">
                            <a:avLst/>
                          </a:prstGeom>
                        </pic:spPr>
                      </pic:pic>
                    </a:graphicData>
                  </a:graphic>
                </wp:inline>
              </w:drawing>
            </w:r>
          </w:p>
        </w:tc>
        <w:tc>
          <w:tcPr>
            <w:tcW w:w="4360" w:type="dxa"/>
          </w:tcPr>
          <w:p w14:paraId="4F112003">
            <w:pPr>
              <w:pStyle w:val="68"/>
              <w:spacing w:line="360" w:lineRule="auto"/>
              <w:jc w:val="center"/>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2683510" cy="1739265"/>
                  <wp:effectExtent l="0" t="0" r="13970" b="133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25"/>
                          <a:stretch>
                            <a:fillRect/>
                          </a:stretch>
                        </pic:blipFill>
                        <pic:spPr>
                          <a:xfrm>
                            <a:off x="0" y="0"/>
                            <a:ext cx="2683510" cy="1739265"/>
                          </a:xfrm>
                          <a:prstGeom prst="rect">
                            <a:avLst/>
                          </a:prstGeom>
                          <a:noFill/>
                          <a:ln>
                            <a:noFill/>
                          </a:ln>
                        </pic:spPr>
                      </pic:pic>
                    </a:graphicData>
                  </a:graphic>
                </wp:inline>
              </w:drawing>
            </w:r>
          </w:p>
        </w:tc>
      </w:tr>
      <w:tr w14:paraId="6828F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3858DD75">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eastAsia="宋体"/>
                <w:bCs/>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污水处理池</w:t>
            </w:r>
          </w:p>
        </w:tc>
        <w:tc>
          <w:tcPr>
            <w:tcW w:w="4360" w:type="dxa"/>
          </w:tcPr>
          <w:p w14:paraId="6D7F7B94">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eastAsia="宋体"/>
                <w:bCs/>
                <w:color w:val="000000" w:themeColor="text1"/>
                <w:lang w:val="en-US" w:eastAsia="zh-CN"/>
                <w14:textFill>
                  <w14:solidFill>
                    <w14:schemeClr w14:val="tx1"/>
                  </w14:solidFill>
                </w14:textFill>
              </w:rPr>
            </w:pPr>
            <w:r>
              <w:rPr>
                <w:rFonts w:hint="eastAsia"/>
                <w:bCs/>
                <w:color w:val="000000" w:themeColor="text1"/>
                <w:szCs w:val="24"/>
                <w:lang w:val="en-US" w:eastAsia="zh-CN"/>
                <w14:textFill>
                  <w14:solidFill>
                    <w14:schemeClr w14:val="tx1"/>
                  </w14:solidFill>
                </w14:textFill>
              </w:rPr>
              <w:t>控制</w:t>
            </w:r>
            <w:r>
              <w:rPr>
                <w:rFonts w:hint="eastAsia" w:ascii="Times New Roman"/>
                <w:bCs/>
                <w:color w:val="000000" w:themeColor="text1"/>
                <w:szCs w:val="24"/>
                <w:lang w:val="en-US" w:eastAsia="zh-CN"/>
                <w14:textFill>
                  <w14:solidFill>
                    <w14:schemeClr w14:val="tx1"/>
                  </w14:solidFill>
                </w14:textFill>
              </w:rPr>
              <w:t>室</w:t>
            </w:r>
          </w:p>
        </w:tc>
      </w:tr>
      <w:tr w14:paraId="08F1D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2B19A2D3">
            <w:pPr>
              <w:pStyle w:val="68"/>
              <w:spacing w:line="360" w:lineRule="auto"/>
              <w:jc w:val="center"/>
              <w:rPr>
                <w:rFonts w:hint="eastAsia" w:eastAsia="宋体"/>
                <w:bCs/>
                <w:color w:val="000000" w:themeColor="text1"/>
                <w:lang w:eastAsia="zh-CN"/>
                <w14:textFill>
                  <w14:solidFill>
                    <w14:schemeClr w14:val="tx1"/>
                  </w14:solidFill>
                </w14:textFill>
              </w:rPr>
            </w:pPr>
            <w:r>
              <w:rPr>
                <w:rFonts w:hint="eastAsia" w:eastAsia="宋体"/>
                <w:bCs/>
                <w:color w:val="000000" w:themeColor="text1"/>
                <w:lang w:eastAsia="zh-CN"/>
                <w14:textFill>
                  <w14:solidFill>
                    <w14:schemeClr w14:val="tx1"/>
                  </w14:solidFill>
                </w14:textFill>
              </w:rPr>
              <w:drawing>
                <wp:inline distT="0" distB="0" distL="114300" distR="114300">
                  <wp:extent cx="2613660" cy="1960245"/>
                  <wp:effectExtent l="0" t="0" r="7620" b="5715"/>
                  <wp:docPr id="39" name="图片 39" descr="IMG_20240823_095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IMG_20240823_095045"/>
                          <pic:cNvPicPr>
                            <a:picLocks noChangeAspect="1"/>
                          </pic:cNvPicPr>
                        </pic:nvPicPr>
                        <pic:blipFill>
                          <a:blip r:embed="rId26"/>
                          <a:stretch>
                            <a:fillRect/>
                          </a:stretch>
                        </pic:blipFill>
                        <pic:spPr>
                          <a:xfrm>
                            <a:off x="0" y="0"/>
                            <a:ext cx="2613660" cy="1960245"/>
                          </a:xfrm>
                          <a:prstGeom prst="rect">
                            <a:avLst/>
                          </a:prstGeom>
                        </pic:spPr>
                      </pic:pic>
                    </a:graphicData>
                  </a:graphic>
                </wp:inline>
              </w:drawing>
            </w:r>
          </w:p>
        </w:tc>
        <w:tc>
          <w:tcPr>
            <w:tcW w:w="4360" w:type="dxa"/>
          </w:tcPr>
          <w:p w14:paraId="5E6FC9D8">
            <w:pPr>
              <w:pStyle w:val="68"/>
              <w:spacing w:line="360" w:lineRule="auto"/>
              <w:jc w:val="center"/>
              <w:rPr>
                <w:rFonts w:hint="eastAsia" w:eastAsia="宋体"/>
                <w:bCs/>
                <w:color w:val="000000" w:themeColor="text1"/>
                <w:lang w:eastAsia="zh-CN"/>
                <w14:textFill>
                  <w14:solidFill>
                    <w14:schemeClr w14:val="tx1"/>
                  </w14:solidFill>
                </w14:textFill>
              </w:rPr>
            </w:pPr>
            <w:r>
              <w:rPr>
                <w:rFonts w:hint="eastAsia" w:eastAsia="宋体"/>
                <w:bCs/>
                <w:color w:val="000000" w:themeColor="text1"/>
                <w:lang w:eastAsia="zh-CN"/>
                <w14:textFill>
                  <w14:solidFill>
                    <w14:schemeClr w14:val="tx1"/>
                  </w14:solidFill>
                </w14:textFill>
              </w:rPr>
              <w:drawing>
                <wp:inline distT="0" distB="0" distL="114300" distR="114300">
                  <wp:extent cx="2613660" cy="1960245"/>
                  <wp:effectExtent l="0" t="0" r="7620" b="5715"/>
                  <wp:docPr id="41" name="图片 41" descr="IMG_20240823_095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IMG_20240823_095110"/>
                          <pic:cNvPicPr>
                            <a:picLocks noChangeAspect="1"/>
                          </pic:cNvPicPr>
                        </pic:nvPicPr>
                        <pic:blipFill>
                          <a:blip r:embed="rId27"/>
                          <a:stretch>
                            <a:fillRect/>
                          </a:stretch>
                        </pic:blipFill>
                        <pic:spPr>
                          <a:xfrm>
                            <a:off x="0" y="0"/>
                            <a:ext cx="2613660" cy="1960245"/>
                          </a:xfrm>
                          <a:prstGeom prst="rect">
                            <a:avLst/>
                          </a:prstGeom>
                        </pic:spPr>
                      </pic:pic>
                    </a:graphicData>
                  </a:graphic>
                </wp:inline>
              </w:drawing>
            </w:r>
          </w:p>
        </w:tc>
      </w:tr>
      <w:tr w14:paraId="1E5A5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0164E9BB">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变压器</w:t>
            </w:r>
          </w:p>
        </w:tc>
        <w:tc>
          <w:tcPr>
            <w:tcW w:w="4360" w:type="dxa"/>
          </w:tcPr>
          <w:p w14:paraId="2022A378">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变压器</w:t>
            </w:r>
          </w:p>
        </w:tc>
      </w:tr>
      <w:tr w14:paraId="09C34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501552F7">
            <w:pPr>
              <w:pStyle w:val="68"/>
              <w:keepNext w:val="0"/>
              <w:keepLines w:val="0"/>
              <w:pageBreakBefore w:val="0"/>
              <w:widowControl w:val="0"/>
              <w:kinsoku/>
              <w:wordWrap/>
              <w:overflowPunct/>
              <w:topLinePunct w:val="0"/>
              <w:autoSpaceDE w:val="0"/>
              <w:autoSpaceDN w:val="0"/>
              <w:bidi w:val="0"/>
              <w:adjustRightInd w:val="0"/>
              <w:snapToGrid/>
              <w:spacing w:line="240" w:lineRule="auto"/>
              <w:jc w:val="both"/>
              <w:textAlignment w:val="auto"/>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2628265" cy="1718945"/>
                  <wp:effectExtent l="0" t="0" r="8255" b="317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28"/>
                          <a:stretch>
                            <a:fillRect/>
                          </a:stretch>
                        </pic:blipFill>
                        <pic:spPr>
                          <a:xfrm>
                            <a:off x="0" y="0"/>
                            <a:ext cx="2628265" cy="1718945"/>
                          </a:xfrm>
                          <a:prstGeom prst="rect">
                            <a:avLst/>
                          </a:prstGeom>
                          <a:noFill/>
                          <a:ln>
                            <a:noFill/>
                          </a:ln>
                        </pic:spPr>
                      </pic:pic>
                    </a:graphicData>
                  </a:graphic>
                </wp:inline>
              </w:drawing>
            </w:r>
          </w:p>
        </w:tc>
        <w:tc>
          <w:tcPr>
            <w:tcW w:w="4360" w:type="dxa"/>
          </w:tcPr>
          <w:p w14:paraId="3FF6C5AE">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2504440" cy="1739900"/>
                  <wp:effectExtent l="0" t="0" r="10160" b="1270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29"/>
                          <a:stretch>
                            <a:fillRect/>
                          </a:stretch>
                        </pic:blipFill>
                        <pic:spPr>
                          <a:xfrm>
                            <a:off x="0" y="0"/>
                            <a:ext cx="2504440" cy="1739900"/>
                          </a:xfrm>
                          <a:prstGeom prst="rect">
                            <a:avLst/>
                          </a:prstGeom>
                          <a:noFill/>
                          <a:ln>
                            <a:noFill/>
                          </a:ln>
                        </pic:spPr>
                      </pic:pic>
                    </a:graphicData>
                  </a:graphic>
                </wp:inline>
              </w:drawing>
            </w:r>
          </w:p>
        </w:tc>
      </w:tr>
      <w:tr w14:paraId="53ADA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4A2E2310">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2155190" cy="2178685"/>
                  <wp:effectExtent l="0" t="0" r="8890" b="635"/>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30"/>
                          <a:srcRect r="27155" b="-893"/>
                          <a:stretch>
                            <a:fillRect/>
                          </a:stretch>
                        </pic:blipFill>
                        <pic:spPr>
                          <a:xfrm>
                            <a:off x="0" y="0"/>
                            <a:ext cx="2155190" cy="2178685"/>
                          </a:xfrm>
                          <a:prstGeom prst="rect">
                            <a:avLst/>
                          </a:prstGeom>
                          <a:noFill/>
                          <a:ln>
                            <a:noFill/>
                          </a:ln>
                        </pic:spPr>
                      </pic:pic>
                    </a:graphicData>
                  </a:graphic>
                </wp:inline>
              </w:drawing>
            </w:r>
          </w:p>
        </w:tc>
        <w:tc>
          <w:tcPr>
            <w:tcW w:w="4360" w:type="dxa"/>
          </w:tcPr>
          <w:p w14:paraId="5E0616B7">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2543175" cy="2178050"/>
                  <wp:effectExtent l="0" t="0" r="1905" b="1270"/>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31"/>
                          <a:stretch>
                            <a:fillRect/>
                          </a:stretch>
                        </pic:blipFill>
                        <pic:spPr>
                          <a:xfrm>
                            <a:off x="0" y="0"/>
                            <a:ext cx="2543175" cy="2178050"/>
                          </a:xfrm>
                          <a:prstGeom prst="rect">
                            <a:avLst/>
                          </a:prstGeom>
                          <a:noFill/>
                          <a:ln>
                            <a:noFill/>
                          </a:ln>
                        </pic:spPr>
                      </pic:pic>
                    </a:graphicData>
                  </a:graphic>
                </wp:inline>
              </w:drawing>
            </w:r>
          </w:p>
        </w:tc>
      </w:tr>
      <w:tr w14:paraId="445A0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gridSpan w:val="2"/>
          </w:tcPr>
          <w:p w14:paraId="3DD25D90">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color w:val="000000" w:themeColor="text1"/>
                <w:lang w:val="en-US" w:eastAsia="zh-CN"/>
                <w14:textFill>
                  <w14:solidFill>
                    <w14:schemeClr w14:val="tx1"/>
                  </w14:solidFill>
                </w14:textFill>
              </w:rPr>
            </w:pPr>
            <w:r>
              <w:rPr>
                <w:rFonts w:hint="eastAsia"/>
                <w:color w:val="0000FF"/>
                <w:lang w:val="en-US" w:eastAsia="zh-CN"/>
              </w:rPr>
              <w:t>安全警示标志</w:t>
            </w:r>
          </w:p>
        </w:tc>
      </w:tr>
      <w:tr w14:paraId="11A80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6614DD78">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2613660" cy="1960245"/>
                  <wp:effectExtent l="0" t="0" r="7620" b="5715"/>
                  <wp:docPr id="36" name="图片 36" descr="IMG_20240823_103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IMG_20240823_103010"/>
                          <pic:cNvPicPr>
                            <a:picLocks noChangeAspect="1"/>
                          </pic:cNvPicPr>
                        </pic:nvPicPr>
                        <pic:blipFill>
                          <a:blip r:embed="rId32"/>
                          <a:stretch>
                            <a:fillRect/>
                          </a:stretch>
                        </pic:blipFill>
                        <pic:spPr>
                          <a:xfrm>
                            <a:off x="0" y="0"/>
                            <a:ext cx="2613660" cy="1960245"/>
                          </a:xfrm>
                          <a:prstGeom prst="rect">
                            <a:avLst/>
                          </a:prstGeom>
                        </pic:spPr>
                      </pic:pic>
                    </a:graphicData>
                  </a:graphic>
                </wp:inline>
              </w:drawing>
            </w:r>
          </w:p>
        </w:tc>
        <w:tc>
          <w:tcPr>
            <w:tcW w:w="4360" w:type="dxa"/>
          </w:tcPr>
          <w:p w14:paraId="74017E0F">
            <w:pPr>
              <w:tabs>
                <w:tab w:val="left" w:pos="3480"/>
              </w:tabs>
              <w:bidi w:val="0"/>
              <w:jc w:val="left"/>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2613660" cy="1960245"/>
                  <wp:effectExtent l="0" t="0" r="7620" b="5715"/>
                  <wp:docPr id="22" name="图片 22" descr="IMG_20240823_101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0240823_101508"/>
                          <pic:cNvPicPr>
                            <a:picLocks noChangeAspect="1"/>
                          </pic:cNvPicPr>
                        </pic:nvPicPr>
                        <pic:blipFill>
                          <a:blip r:embed="rId33"/>
                          <a:stretch>
                            <a:fillRect/>
                          </a:stretch>
                        </pic:blipFill>
                        <pic:spPr>
                          <a:xfrm>
                            <a:off x="0" y="0"/>
                            <a:ext cx="2613660" cy="1960245"/>
                          </a:xfrm>
                          <a:prstGeom prst="rect">
                            <a:avLst/>
                          </a:prstGeom>
                        </pic:spPr>
                      </pic:pic>
                    </a:graphicData>
                  </a:graphic>
                </wp:inline>
              </w:drawing>
            </w:r>
          </w:p>
        </w:tc>
      </w:tr>
      <w:tr w14:paraId="2251E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gridSpan w:val="2"/>
          </w:tcPr>
          <w:p w14:paraId="6D92EE29">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管理制度</w:t>
            </w:r>
          </w:p>
        </w:tc>
      </w:tr>
      <w:tr w14:paraId="1DCDF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1337CF19">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2611755" cy="1958340"/>
                  <wp:effectExtent l="0" t="0" r="9525" b="7620"/>
                  <wp:docPr id="17" name="图片 17" descr="IMG_20240924_120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0240924_120329"/>
                          <pic:cNvPicPr>
                            <a:picLocks noChangeAspect="1"/>
                          </pic:cNvPicPr>
                        </pic:nvPicPr>
                        <pic:blipFill>
                          <a:blip r:embed="rId34"/>
                          <a:stretch>
                            <a:fillRect/>
                          </a:stretch>
                        </pic:blipFill>
                        <pic:spPr>
                          <a:xfrm>
                            <a:off x="0" y="0"/>
                            <a:ext cx="2611755" cy="1958340"/>
                          </a:xfrm>
                          <a:prstGeom prst="rect">
                            <a:avLst/>
                          </a:prstGeom>
                        </pic:spPr>
                      </pic:pic>
                    </a:graphicData>
                  </a:graphic>
                </wp:inline>
              </w:drawing>
            </w:r>
          </w:p>
        </w:tc>
        <w:tc>
          <w:tcPr>
            <w:tcW w:w="4360" w:type="dxa"/>
          </w:tcPr>
          <w:p w14:paraId="2EE94559">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2613660" cy="1960245"/>
                  <wp:effectExtent l="0" t="0" r="7620" b="5715"/>
                  <wp:docPr id="15" name="图片 15" descr="IMG_20240924_114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240924_114517"/>
                          <pic:cNvPicPr>
                            <a:picLocks noChangeAspect="1"/>
                          </pic:cNvPicPr>
                        </pic:nvPicPr>
                        <pic:blipFill>
                          <a:blip r:embed="rId35"/>
                          <a:stretch>
                            <a:fillRect/>
                          </a:stretch>
                        </pic:blipFill>
                        <pic:spPr>
                          <a:xfrm>
                            <a:off x="0" y="0"/>
                            <a:ext cx="2613660" cy="1960245"/>
                          </a:xfrm>
                          <a:prstGeom prst="rect">
                            <a:avLst/>
                          </a:prstGeom>
                        </pic:spPr>
                      </pic:pic>
                    </a:graphicData>
                  </a:graphic>
                </wp:inline>
              </w:drawing>
            </w:r>
          </w:p>
        </w:tc>
      </w:tr>
      <w:tr w14:paraId="4B8C9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516C1474">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厂区入口</w:t>
            </w:r>
          </w:p>
        </w:tc>
        <w:tc>
          <w:tcPr>
            <w:tcW w:w="4360" w:type="dxa"/>
          </w:tcPr>
          <w:p w14:paraId="774AD128">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办公室</w:t>
            </w:r>
          </w:p>
        </w:tc>
      </w:tr>
      <w:tr w14:paraId="0C15E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gridSpan w:val="2"/>
          </w:tcPr>
          <w:p w14:paraId="1F38986F">
            <w:pPr>
              <w:pStyle w:val="68"/>
              <w:spacing w:line="360" w:lineRule="auto"/>
              <w:jc w:val="center"/>
              <w:rPr>
                <w:rFonts w:hint="eastAsia" w:eastAsia="宋体"/>
                <w:bCs/>
                <w:color w:val="000000" w:themeColor="text1"/>
                <w:lang w:eastAsia="zh-CN"/>
                <w14:textFill>
                  <w14:solidFill>
                    <w14:schemeClr w14:val="tx1"/>
                  </w14:solidFill>
                </w14:textFill>
              </w:rPr>
            </w:pPr>
            <w:r>
              <w:rPr>
                <w:rFonts w:hint="eastAsia" w:eastAsia="宋体"/>
                <w:bCs/>
                <w:color w:val="000000" w:themeColor="text1"/>
                <w:lang w:eastAsia="zh-CN"/>
                <w14:textFill>
                  <w14:solidFill>
                    <w14:schemeClr w14:val="tx1"/>
                  </w14:solidFill>
                </w14:textFill>
              </w:rPr>
              <w:drawing>
                <wp:inline distT="0" distB="0" distL="114300" distR="114300">
                  <wp:extent cx="5358130" cy="4018280"/>
                  <wp:effectExtent l="0" t="0" r="6350" b="5080"/>
                  <wp:docPr id="11" name="图片 11" descr="0c55fec19938ffecedcdd133e8f86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0c55fec19938ffecedcdd133e8f86ba"/>
                          <pic:cNvPicPr>
                            <a:picLocks noChangeAspect="1"/>
                          </pic:cNvPicPr>
                        </pic:nvPicPr>
                        <pic:blipFill>
                          <a:blip r:embed="rId36"/>
                          <a:stretch>
                            <a:fillRect/>
                          </a:stretch>
                        </pic:blipFill>
                        <pic:spPr>
                          <a:xfrm>
                            <a:off x="0" y="0"/>
                            <a:ext cx="5358130" cy="4018280"/>
                          </a:xfrm>
                          <a:prstGeom prst="rect">
                            <a:avLst/>
                          </a:prstGeom>
                        </pic:spPr>
                      </pic:pic>
                    </a:graphicData>
                  </a:graphic>
                </wp:inline>
              </w:drawing>
            </w:r>
          </w:p>
        </w:tc>
      </w:tr>
      <w:tr w14:paraId="099BE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gridSpan w:val="2"/>
          </w:tcPr>
          <w:p w14:paraId="28E7A8F8">
            <w:pPr>
              <w:pStyle w:val="6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 xml:space="preserve">评价师与业主合影（中间评价师李毅雄，右一评价师 </w:t>
            </w:r>
            <w:r>
              <w:rPr>
                <w:rFonts w:hint="eastAsia" w:ascii="宋体" w:hAnsi="宋体" w:eastAsia="宋体" w:cs="宋体"/>
                <w:bCs/>
                <w:color w:val="000000" w:themeColor="text1"/>
                <w:lang w:val="en-US" w:eastAsia="zh-CN"/>
                <w14:textFill>
                  <w14:solidFill>
                    <w14:schemeClr w14:val="tx1"/>
                  </w14:solidFill>
                </w14:textFill>
              </w:rPr>
              <w:t>周忠菊</w:t>
            </w:r>
            <w:r>
              <w:rPr>
                <w:rFonts w:hint="eastAsia" w:ascii="宋体" w:hAnsi="宋体" w:cs="宋体"/>
                <w:bCs/>
                <w:color w:val="000000" w:themeColor="text1"/>
                <w:lang w:val="en-US" w:eastAsia="zh-CN"/>
                <w14:textFill>
                  <w14:solidFill>
                    <w14:schemeClr w14:val="tx1"/>
                  </w14:solidFill>
                </w14:textFill>
              </w:rPr>
              <w:t>）</w:t>
            </w:r>
          </w:p>
          <w:p w14:paraId="5280146D">
            <w:pPr>
              <w:pStyle w:val="68"/>
              <w:keepNext w:val="0"/>
              <w:keepLines w:val="0"/>
              <w:pageBreakBefore w:val="0"/>
              <w:widowControl w:val="0"/>
              <w:kinsoku/>
              <w:wordWrap/>
              <w:overflowPunct/>
              <w:topLinePunct w:val="0"/>
              <w:autoSpaceDE w:val="0"/>
              <w:autoSpaceDN w:val="0"/>
              <w:bidi w:val="0"/>
              <w:adjustRightInd w:val="0"/>
              <w:snapToGrid/>
              <w:spacing w:line="160" w:lineRule="atLeast"/>
              <w:jc w:val="center"/>
              <w:textAlignment w:val="auto"/>
              <w:rPr>
                <w:rFonts w:hint="default" w:eastAsia="宋体"/>
                <w:bCs/>
                <w:color w:val="000000" w:themeColor="text1"/>
                <w:lang w:val="en-US" w:eastAsia="zh-CN"/>
                <w14:textFill>
                  <w14:solidFill>
                    <w14:schemeClr w14:val="tx1"/>
                  </w14:solidFill>
                </w14:textFill>
              </w:rPr>
            </w:pPr>
          </w:p>
        </w:tc>
      </w:tr>
    </w:tbl>
    <w:p w14:paraId="7B2C1458">
      <w:pPr>
        <w:pStyle w:val="4"/>
        <w:outlineLvl w:val="9"/>
        <w:rPr>
          <w:rFonts w:ascii="Times New Roman" w:hAnsi="Times New Roman"/>
          <w:color w:val="000000" w:themeColor="text1"/>
          <w14:textFill>
            <w14:solidFill>
              <w14:schemeClr w14:val="tx1"/>
            </w14:solidFill>
          </w14:textFill>
        </w:rPr>
        <w:sectPr>
          <w:pgSz w:w="11906" w:h="16838"/>
          <w:pgMar w:top="1587" w:right="1701" w:bottom="1701" w:left="1701" w:header="851" w:footer="992" w:gutter="0"/>
          <w:pgBorders>
            <w:top w:val="none" w:sz="0" w:space="0"/>
            <w:left w:val="none" w:sz="0" w:space="0"/>
            <w:bottom w:val="none" w:sz="0" w:space="0"/>
            <w:right w:val="none" w:sz="0" w:space="0"/>
          </w:pgBorders>
          <w:pgNumType w:fmt="decimal"/>
          <w:cols w:space="720" w:num="1"/>
          <w:docGrid w:type="lines" w:linePitch="330" w:charSpace="0"/>
        </w:sectPr>
      </w:pPr>
    </w:p>
    <w:bookmarkEnd w:id="268"/>
    <w:bookmarkEnd w:id="269"/>
    <w:bookmarkEnd w:id="270"/>
    <w:p w14:paraId="165C4933">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default" w:ascii="Times New Roman" w:hAnsi="Times New Roman" w:eastAsia="黑体" w:cs="Times New Roman"/>
          <w:color w:val="000000" w:themeColor="text1"/>
          <w14:textFill>
            <w14:solidFill>
              <w14:schemeClr w14:val="tx1"/>
            </w14:solidFill>
          </w14:textFill>
        </w:rPr>
      </w:pPr>
      <w:bookmarkStart w:id="272" w:name="_Toc30428"/>
      <w:bookmarkStart w:id="273" w:name="_Toc25262"/>
      <w:bookmarkStart w:id="274" w:name="_Toc17554"/>
      <w:bookmarkStart w:id="275" w:name="_Toc27513"/>
      <w:bookmarkStart w:id="276" w:name="_Toc313453543"/>
      <w:bookmarkStart w:id="277" w:name="_Toc12314"/>
      <w:bookmarkStart w:id="278" w:name="_Toc335926205"/>
      <w:r>
        <w:rPr>
          <w:rFonts w:hint="default" w:ascii="Times New Roman" w:hAnsi="Times New Roman" w:eastAsia="黑体" w:cs="Times New Roman"/>
          <w:color w:val="000000" w:themeColor="text1"/>
          <w14:textFill>
            <w14:solidFill>
              <w14:schemeClr w14:val="tx1"/>
            </w14:solidFill>
          </w14:textFill>
        </w:rPr>
        <w:t>第3章  主要危险、有害因素辨识与分析</w:t>
      </w:r>
      <w:bookmarkEnd w:id="272"/>
      <w:bookmarkEnd w:id="273"/>
      <w:bookmarkEnd w:id="274"/>
      <w:bookmarkEnd w:id="275"/>
    </w:p>
    <w:p w14:paraId="050E2BF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ascii="Times New Roman"/>
          <w:color w:val="000000" w:themeColor="text1"/>
          <w:sz w:val="28"/>
          <w14:textFill>
            <w14:solidFill>
              <w14:schemeClr w14:val="tx1"/>
            </w14:solidFill>
          </w14:textFill>
        </w:rPr>
      </w:pPr>
      <w:bookmarkStart w:id="279" w:name="_Toc18363"/>
      <w:bookmarkStart w:id="280" w:name="_Toc532203511"/>
      <w:bookmarkStart w:id="281" w:name="_Toc2018"/>
      <w:bookmarkStart w:id="282" w:name="_Toc5642_WPSOffice_Level2"/>
      <w:bookmarkStart w:id="283" w:name="_Toc201697580"/>
      <w:bookmarkStart w:id="284" w:name="_Toc29010"/>
      <w:bookmarkStart w:id="285" w:name="_Toc398"/>
      <w:bookmarkStart w:id="286" w:name="_Toc121910214"/>
      <w:bookmarkStart w:id="287" w:name="_Toc181545896"/>
      <w:bookmarkStart w:id="288" w:name="_Toc184653866"/>
      <w:bookmarkStart w:id="289" w:name="_Toc7563"/>
      <w:bookmarkStart w:id="290" w:name="_Toc5414"/>
      <w:bookmarkStart w:id="291" w:name="_Toc439100950"/>
      <w:bookmarkStart w:id="292" w:name="_Toc395212044"/>
      <w:bookmarkStart w:id="293" w:name="_Toc293305107"/>
      <w:bookmarkStart w:id="294" w:name="_Toc312139931"/>
      <w:bookmarkStart w:id="295" w:name="_Toc395212950"/>
      <w:bookmarkStart w:id="296" w:name="_Toc208138638"/>
      <w:bookmarkStart w:id="297" w:name="_Toc17555"/>
      <w:bookmarkStart w:id="298" w:name="_Toc24936"/>
      <w:bookmarkStart w:id="299" w:name="_Toc27399"/>
      <w:bookmarkStart w:id="300" w:name="_Toc57"/>
      <w:r>
        <w:rPr>
          <w:rFonts w:ascii="Times New Roman"/>
          <w:color w:val="000000" w:themeColor="text1"/>
          <w:sz w:val="28"/>
          <w14:textFill>
            <w14:solidFill>
              <w14:schemeClr w14:val="tx1"/>
            </w14:solidFill>
          </w14:textFill>
        </w:rPr>
        <w:t>本章</w:t>
      </w:r>
      <w:r>
        <w:rPr>
          <w:rFonts w:hint="eastAsia" w:ascii="Times New Roman"/>
          <w:color w:val="000000" w:themeColor="text1"/>
          <w:sz w:val="28"/>
          <w:lang w:eastAsia="zh-CN"/>
          <w14:textFill>
            <w14:solidFill>
              <w14:schemeClr w14:val="tx1"/>
            </w14:solidFill>
          </w14:textFill>
        </w:rPr>
        <w:t>主要</w:t>
      </w:r>
      <w:r>
        <w:rPr>
          <w:rFonts w:ascii="Times New Roman"/>
          <w:color w:val="000000" w:themeColor="text1"/>
          <w:sz w:val="28"/>
          <w14:textFill>
            <w14:solidFill>
              <w14:schemeClr w14:val="tx1"/>
            </w14:solidFill>
          </w14:textFill>
        </w:rPr>
        <w:t>针对</w:t>
      </w:r>
      <w:r>
        <w:rPr>
          <w:rFonts w:hint="eastAsia" w:ascii="Times New Roman"/>
          <w:color w:val="000000" w:themeColor="text1"/>
          <w:sz w:val="28"/>
          <w14:textFill>
            <w14:solidFill>
              <w14:schemeClr w14:val="tx1"/>
            </w14:solidFill>
          </w14:textFill>
        </w:rPr>
        <w:t>项目</w:t>
      </w:r>
      <w:r>
        <w:rPr>
          <w:rFonts w:ascii="Times New Roman"/>
          <w:color w:val="000000" w:themeColor="text1"/>
          <w:sz w:val="28"/>
          <w14:textFill>
            <w14:solidFill>
              <w14:schemeClr w14:val="tx1"/>
            </w14:solidFill>
          </w14:textFill>
        </w:rPr>
        <w:t>现状及公辅</w:t>
      </w:r>
      <w:r>
        <w:rPr>
          <w:rFonts w:hint="eastAsia" w:ascii="Times New Roman"/>
          <w:color w:val="000000" w:themeColor="text1"/>
          <w:sz w:val="28"/>
          <w:lang w:val="en-US" w:eastAsia="zh-CN"/>
          <w14:textFill>
            <w14:solidFill>
              <w14:schemeClr w14:val="tx1"/>
            </w14:solidFill>
          </w14:textFill>
        </w:rPr>
        <w:t>辅助</w:t>
      </w:r>
      <w:r>
        <w:rPr>
          <w:rFonts w:ascii="Times New Roman"/>
          <w:color w:val="000000" w:themeColor="text1"/>
          <w:sz w:val="28"/>
          <w14:textFill>
            <w14:solidFill>
              <w14:schemeClr w14:val="tx1"/>
            </w14:solidFill>
          </w14:textFill>
        </w:rPr>
        <w:t>设施的生产现状情况，对设施、装置和生产系统中可能存在的危险、有害因素进行辨识和分析，确定其主要危险、有害因素的种类及其存在部位和可能产生的后果，以确定评价对象，选用评价方法和提出有针对性的措施，便于该项目在以后的生产过程中对其固有和潜在的危险、有害因素，按照消除、减弱、预防、控制原则，保证生产系统的安全运行。简言之，就是识别系统危险性，找出引发原因，把握薄弱环节，寻找预防事故的最佳途径。</w:t>
      </w:r>
    </w:p>
    <w:p w14:paraId="3A94ED10">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301" w:name="_Toc9265"/>
      <w:bookmarkStart w:id="302" w:name="_Toc4566"/>
      <w:r>
        <w:rPr>
          <w:rFonts w:hint="default" w:ascii="Times New Roman" w:hAnsi="Times New Roman" w:eastAsia="楷体" w:cs="Times New Roman"/>
          <w:color w:val="000000" w:themeColor="text1"/>
          <w14:textFill>
            <w14:solidFill>
              <w14:schemeClr w14:val="tx1"/>
            </w14:solidFill>
          </w14:textFill>
        </w:rPr>
        <w:t>3.1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辨识与分析的目的</w:t>
      </w:r>
      <w:bookmarkEnd w:id="301"/>
      <w:bookmarkEnd w:id="302"/>
    </w:p>
    <w:p w14:paraId="13A23CA3">
      <w:pPr>
        <w:keepNext w:val="0"/>
        <w:keepLines w:val="0"/>
        <w:pageBreakBefore w:val="0"/>
        <w:widowControl w:val="0"/>
        <w:kinsoku/>
        <w:wordWrap/>
        <w:overflowPunct/>
        <w:topLinePunct w:val="0"/>
        <w:autoSpaceDE/>
        <w:autoSpaceDN/>
        <w:bidi w:val="0"/>
        <w:spacing w:line="520" w:lineRule="exact"/>
        <w:ind w:firstLine="560" w:firstLineChars="200"/>
        <w:textAlignment w:val="auto"/>
        <w:rPr>
          <w:rStyle w:val="306"/>
          <w:color w:val="000000" w:themeColor="text1"/>
          <w14:textFill>
            <w14:solidFill>
              <w14:schemeClr w14:val="tx1"/>
            </w14:solidFill>
          </w14:textFill>
        </w:rPr>
      </w:pPr>
      <w:r>
        <w:rPr>
          <w:rStyle w:val="306"/>
          <w:color w:val="000000" w:themeColor="text1"/>
          <w14:textFill>
            <w14:solidFill>
              <w14:schemeClr w14:val="tx1"/>
            </w14:solidFill>
          </w14:textFill>
        </w:rPr>
        <w:t>危险、有害因素辨识与分析是安全评价的基础。</w:t>
      </w:r>
    </w:p>
    <w:p w14:paraId="2591A4B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Style w:val="306"/>
          <w:color w:val="000000" w:themeColor="text1"/>
          <w14:textFill>
            <w14:solidFill>
              <w14:schemeClr w14:val="tx1"/>
            </w14:solidFill>
          </w14:textFill>
        </w:rPr>
      </w:pPr>
      <w:r>
        <w:rPr>
          <w:rStyle w:val="306"/>
          <w:color w:val="000000" w:themeColor="text1"/>
          <w14:textFill>
            <w14:solidFill>
              <w14:schemeClr w14:val="tx1"/>
            </w14:solidFill>
          </w14:textFill>
        </w:rPr>
        <w:t>危险因素是指系统（人、机械、材料、设施、工艺、环境）中存在的，能对人造成伤亡，对物造成突发性损害的因素。</w:t>
      </w:r>
    </w:p>
    <w:p w14:paraId="08A0BF8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Style w:val="306"/>
          <w:color w:val="000000" w:themeColor="text1"/>
          <w14:textFill>
            <w14:solidFill>
              <w14:schemeClr w14:val="tx1"/>
            </w14:solidFill>
          </w14:textFill>
        </w:rPr>
      </w:pPr>
      <w:r>
        <w:rPr>
          <w:rStyle w:val="306"/>
          <w:color w:val="000000" w:themeColor="text1"/>
          <w14:textFill>
            <w14:solidFill>
              <w14:schemeClr w14:val="tx1"/>
            </w14:solidFill>
          </w14:textFill>
        </w:rPr>
        <w:t>有害因素是指影响人的身体健康，导致疾病，或对物造成慢性损害的因素。</w:t>
      </w:r>
    </w:p>
    <w:p w14:paraId="0DE20774">
      <w:pPr>
        <w:keepNext w:val="0"/>
        <w:keepLines w:val="0"/>
        <w:pageBreakBefore w:val="0"/>
        <w:widowControl w:val="0"/>
        <w:kinsoku/>
        <w:wordWrap/>
        <w:overflowPunct/>
        <w:topLinePunct w:val="0"/>
        <w:autoSpaceDE/>
        <w:autoSpaceDN/>
        <w:bidi w:val="0"/>
        <w:spacing w:line="520" w:lineRule="exact"/>
        <w:ind w:firstLine="560" w:firstLineChars="200"/>
        <w:textAlignment w:val="auto"/>
        <w:rPr>
          <w:rStyle w:val="306"/>
          <w:color w:val="000000" w:themeColor="text1"/>
          <w14:textFill>
            <w14:solidFill>
              <w14:schemeClr w14:val="tx1"/>
            </w14:solidFill>
          </w14:textFill>
        </w:rPr>
      </w:pPr>
      <w:r>
        <w:rPr>
          <w:rStyle w:val="306"/>
          <w:color w:val="000000" w:themeColor="text1"/>
          <w14:textFill>
            <w14:solidFill>
              <w14:schemeClr w14:val="tx1"/>
            </w14:solidFill>
          </w14:textFill>
        </w:rPr>
        <w:t>主要危险、有害因素的识别，就是找出生产、经营过程中最有可能引发重大事故，导致不良后果的人、机、物、工艺、环境和组织等，识别可能发生的事故、后果和条件，以便采取预防和控制措施。</w:t>
      </w:r>
    </w:p>
    <w:p w14:paraId="014F8FCD">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303" w:name="_Toc7726"/>
      <w:r>
        <w:rPr>
          <w:rFonts w:hint="default" w:ascii="Times New Roman" w:hAnsi="Times New Roman" w:eastAsia="楷体" w:cs="Times New Roman"/>
          <w:color w:val="000000" w:themeColor="text1"/>
          <w14:textFill>
            <w14:solidFill>
              <w14:schemeClr w14:val="tx1"/>
            </w14:solidFill>
          </w14:textFill>
        </w:rPr>
        <w:t>3.</w:t>
      </w:r>
      <w:r>
        <w:rPr>
          <w:rFonts w:hint="default" w:ascii="Times New Roman" w:hAnsi="Times New Roman" w:eastAsia="楷体" w:cs="Times New Roman"/>
          <w:color w:val="000000" w:themeColor="text1"/>
          <w:lang w:val="en-US"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辨识与分析的依据</w:t>
      </w:r>
      <w:bookmarkEnd w:id="279"/>
      <w:bookmarkEnd w:id="280"/>
      <w:bookmarkEnd w:id="281"/>
      <w:bookmarkEnd w:id="303"/>
    </w:p>
    <w:p w14:paraId="4F96CCE9">
      <w:pPr>
        <w:keepNext w:val="0"/>
        <w:keepLines w:val="0"/>
        <w:pageBreakBefore w:val="0"/>
        <w:widowControl w:val="0"/>
        <w:kinsoku/>
        <w:wordWrap/>
        <w:overflowPunct/>
        <w:autoSpaceDE/>
        <w:autoSpaceDN/>
        <w:bidi w:val="0"/>
        <w:adjustRightInd/>
        <w:snapToGrid/>
        <w:spacing w:line="500" w:lineRule="exact"/>
        <w:ind w:firstLine="560" w:firstLineChars="200"/>
        <w:textAlignment w:val="auto"/>
        <w:rPr>
          <w:snapToGrid w:val="0"/>
          <w:color w:val="000000" w:themeColor="text1"/>
          <w:kern w:val="0"/>
          <w:sz w:val="28"/>
          <w:szCs w:val="28"/>
          <w14:textFill>
            <w14:solidFill>
              <w14:schemeClr w14:val="tx1"/>
            </w14:solidFill>
          </w14:textFill>
        </w:rPr>
      </w:pPr>
      <w:r>
        <w:rPr>
          <w:rFonts w:ascii="宋体" w:hAnsi="Times New Roman" w:eastAsia="宋体" w:cs="Times New Roman"/>
          <w:snapToGrid w:val="0"/>
          <w:color w:val="000000" w:themeColor="text1"/>
          <w:kern w:val="0"/>
          <w:sz w:val="28"/>
          <w:szCs w:val="28"/>
          <w14:textFill>
            <w14:solidFill>
              <w14:schemeClr w14:val="tx1"/>
            </w14:solidFill>
          </w14:textFill>
        </w:rPr>
        <w:t>按照《企业职工伤亡事故分类》（GB6441-1986），综合考虑起因物、引起事故的诱导性原因、致害物、伤害方式等，将</w:t>
      </w:r>
      <w:r>
        <w:rPr>
          <w:rFonts w:hint="eastAsia" w:ascii="宋体" w:hAnsi="Times New Roman" w:eastAsia="宋体" w:cs="Times New Roman"/>
          <w:snapToGrid w:val="0"/>
          <w:color w:val="000000" w:themeColor="text1"/>
          <w:kern w:val="0"/>
          <w:sz w:val="28"/>
          <w:szCs w:val="28"/>
          <w14:textFill>
            <w14:solidFill>
              <w14:schemeClr w14:val="tx1"/>
            </w14:solidFill>
          </w14:textFill>
        </w:rPr>
        <w:t>事故类别</w:t>
      </w:r>
      <w:r>
        <w:rPr>
          <w:rFonts w:ascii="宋体" w:hAnsi="Times New Roman" w:eastAsia="宋体" w:cs="Times New Roman"/>
          <w:snapToGrid w:val="0"/>
          <w:color w:val="000000" w:themeColor="text1"/>
          <w:kern w:val="0"/>
          <w:sz w:val="28"/>
          <w:szCs w:val="28"/>
          <w14:textFill>
            <w14:solidFill>
              <w14:schemeClr w14:val="tx1"/>
            </w14:solidFill>
          </w14:textFill>
        </w:rPr>
        <w:t>分为20类，分别为物体打击、车辆伤害、机械伤害</w:t>
      </w:r>
      <w:r>
        <w:rPr>
          <w:snapToGrid w:val="0"/>
          <w:color w:val="000000" w:themeColor="text1"/>
          <w:kern w:val="0"/>
          <w:sz w:val="28"/>
          <w:szCs w:val="28"/>
          <w14:textFill>
            <w14:solidFill>
              <w14:schemeClr w14:val="tx1"/>
            </w14:solidFill>
          </w14:textFill>
        </w:rPr>
        <w:t>、起重伤害、触电、淹溺、灼烫、火灾、高处坠落、坍塌、冒顶片帮、透水、放炮、瓦斯爆炸、火药爆炸、锅炉爆炸、容器爆炸、其他爆炸、中毒和窒息及其他伤害。</w:t>
      </w:r>
    </w:p>
    <w:p w14:paraId="01ADB072">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根据《生产过程危险和有害因素分类与代码》（GB/T13861-20</w:t>
      </w:r>
      <w:r>
        <w:rPr>
          <w:color w:val="000000" w:themeColor="text1"/>
          <w:sz w:val="28"/>
          <w:szCs w:val="28"/>
          <w14:textFill>
            <w14:solidFill>
              <w14:schemeClr w14:val="tx1"/>
            </w14:solidFill>
          </w14:textFill>
        </w:rPr>
        <w:t>22</w:t>
      </w:r>
      <w:r>
        <w:rPr>
          <w:rFonts w:hint="eastAsia"/>
          <w:color w:val="000000" w:themeColor="text1"/>
          <w:sz w:val="28"/>
          <w:szCs w:val="28"/>
          <w14:textFill>
            <w14:solidFill>
              <w14:schemeClr w14:val="tx1"/>
            </w14:solidFill>
          </w14:textFill>
        </w:rPr>
        <w:t>）的规定，将危险因素分为四类：</w:t>
      </w:r>
    </w:p>
    <w:p w14:paraId="3383E3E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一、人的因素</w:t>
      </w:r>
    </w:p>
    <w:p w14:paraId="677E0602">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1.心理、生理性危险和有害因素；</w:t>
      </w:r>
    </w:p>
    <w:p w14:paraId="3F79A5EE">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2.行为性危险和有害因素。</w:t>
      </w:r>
    </w:p>
    <w:p w14:paraId="74395E7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二、物的因素</w:t>
      </w:r>
    </w:p>
    <w:p w14:paraId="5209284B">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1.物理性危险和有害因素；</w:t>
      </w:r>
    </w:p>
    <w:p w14:paraId="7836A16D">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2.化学性危险和有害因素；</w:t>
      </w:r>
    </w:p>
    <w:p w14:paraId="1C5D20B7">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3.生物性危险和有害因素。</w:t>
      </w:r>
    </w:p>
    <w:p w14:paraId="7784877D">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三、环境因素</w:t>
      </w:r>
    </w:p>
    <w:p w14:paraId="58DDFF28">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1.室内作业场所环境不良；</w:t>
      </w:r>
    </w:p>
    <w:p w14:paraId="58FF2144">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2.室外作业场地环境不良；</w:t>
      </w:r>
    </w:p>
    <w:p w14:paraId="7E0199E3">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3.地下（含水下）作业环境不良；</w:t>
      </w:r>
    </w:p>
    <w:p w14:paraId="69864BA8">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4.其他作业环境不良。</w:t>
      </w:r>
    </w:p>
    <w:p w14:paraId="7D5ACF6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四、管理因素。</w:t>
      </w:r>
    </w:p>
    <w:p w14:paraId="5B7741B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1.职业安全卫生组织机构</w:t>
      </w:r>
      <w:r>
        <w:rPr>
          <w:rFonts w:hint="eastAsia"/>
          <w:color w:val="000000" w:themeColor="text1"/>
          <w:sz w:val="28"/>
          <w:szCs w:val="28"/>
          <w:lang w:val="en-US" w:eastAsia="zh-CN"/>
          <w14:textFill>
            <w14:solidFill>
              <w14:schemeClr w14:val="tx1"/>
            </w14:solidFill>
          </w14:textFill>
        </w:rPr>
        <w:t>设置和人员配备</w:t>
      </w:r>
      <w:r>
        <w:rPr>
          <w:rFonts w:hint="eastAsia"/>
          <w:color w:val="000000" w:themeColor="text1"/>
          <w:sz w:val="28"/>
          <w:szCs w:val="28"/>
          <w14:textFill>
            <w14:solidFill>
              <w14:schemeClr w14:val="tx1"/>
            </w14:solidFill>
          </w14:textFill>
        </w:rPr>
        <w:t>不健全；</w:t>
      </w:r>
    </w:p>
    <w:p w14:paraId="6DC69895">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2.职业安全卫生责任制</w:t>
      </w:r>
      <w:r>
        <w:rPr>
          <w:rFonts w:hint="eastAsia"/>
          <w:color w:val="000000" w:themeColor="text1"/>
          <w:sz w:val="28"/>
          <w:szCs w:val="28"/>
          <w:lang w:val="en-US" w:eastAsia="zh-CN"/>
          <w14:textFill>
            <w14:solidFill>
              <w14:schemeClr w14:val="tx1"/>
            </w14:solidFill>
          </w14:textFill>
        </w:rPr>
        <w:t>不完善或</w:t>
      </w:r>
      <w:r>
        <w:rPr>
          <w:rFonts w:hint="eastAsia"/>
          <w:color w:val="000000" w:themeColor="text1"/>
          <w:sz w:val="28"/>
          <w:szCs w:val="28"/>
          <w14:textFill>
            <w14:solidFill>
              <w14:schemeClr w14:val="tx1"/>
            </w14:solidFill>
          </w14:textFill>
        </w:rPr>
        <w:t>未落实；</w:t>
      </w:r>
    </w:p>
    <w:p w14:paraId="3DD30D26">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3.职业安全卫生管理规章制度不完善</w:t>
      </w:r>
      <w:r>
        <w:rPr>
          <w:rFonts w:hint="eastAsia"/>
          <w:color w:val="000000" w:themeColor="text1"/>
          <w:sz w:val="28"/>
          <w:szCs w:val="28"/>
          <w:lang w:val="en-US" w:eastAsia="zh-CN"/>
          <w14:textFill>
            <w14:solidFill>
              <w14:schemeClr w14:val="tx1"/>
            </w14:solidFill>
          </w14:textFill>
        </w:rPr>
        <w:t>或未落实</w:t>
      </w:r>
      <w:r>
        <w:rPr>
          <w:rFonts w:hint="eastAsia"/>
          <w:color w:val="000000" w:themeColor="text1"/>
          <w:sz w:val="28"/>
          <w:szCs w:val="28"/>
          <w14:textFill>
            <w14:solidFill>
              <w14:schemeClr w14:val="tx1"/>
            </w14:solidFill>
          </w14:textFill>
        </w:rPr>
        <w:t>；</w:t>
      </w:r>
    </w:p>
    <w:p w14:paraId="31E75186">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4.职业安全卫生投入不足；</w:t>
      </w:r>
    </w:p>
    <w:p w14:paraId="3DB067F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5.</w:t>
      </w:r>
      <w:r>
        <w:rPr>
          <w:rFonts w:hint="eastAsia"/>
          <w:color w:val="000000" w:themeColor="text1"/>
          <w:sz w:val="28"/>
          <w:szCs w:val="28"/>
          <w:lang w:val="en-US" w:eastAsia="zh-CN"/>
          <w14:textFill>
            <w14:solidFill>
              <w14:schemeClr w14:val="tx1"/>
            </w14:solidFill>
          </w14:textFill>
        </w:rPr>
        <w:t>应急管理缺陷</w:t>
      </w:r>
      <w:r>
        <w:rPr>
          <w:rFonts w:hint="eastAsia"/>
          <w:color w:val="000000" w:themeColor="text1"/>
          <w:sz w:val="28"/>
          <w:szCs w:val="28"/>
          <w14:textFill>
            <w14:solidFill>
              <w14:schemeClr w14:val="tx1"/>
            </w14:solidFill>
          </w14:textFill>
        </w:rPr>
        <w:t>；</w:t>
      </w:r>
    </w:p>
    <w:p w14:paraId="74EB2682">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6.其他管理因素缺陷。</w:t>
      </w:r>
    </w:p>
    <w:p w14:paraId="616FBA41">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304" w:name="_Toc24396"/>
      <w:r>
        <w:rPr>
          <w:rFonts w:hint="eastAsia" w:ascii="Times New Roman" w:hAnsi="Times New Roman" w:cs="Times New Roman"/>
          <w:color w:val="000000" w:themeColor="text1"/>
          <w:lang w:val="en-US" w:eastAsia="zh-CN"/>
          <w14:textFill>
            <w14:solidFill>
              <w14:schemeClr w14:val="tx1"/>
            </w14:solidFill>
          </w14:textFill>
        </w:rPr>
        <w:t>3.3</w:t>
      </w:r>
      <w:r>
        <w:rPr>
          <w:rFonts w:hint="default" w:ascii="Times New Roman" w:hAnsi="Times New Roman" w:eastAsia="楷体" w:cs="Times New Roman"/>
          <w:color w:val="000000" w:themeColor="text1"/>
          <w14:textFill>
            <w14:solidFill>
              <w14:schemeClr w14:val="tx1"/>
            </w14:solidFill>
          </w14:textFill>
        </w:rPr>
        <w:t>危险、有害因素产生的原因</w:t>
      </w:r>
      <w:bookmarkEnd w:id="304"/>
    </w:p>
    <w:p w14:paraId="79034ABD">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eastAsia="黑体" w:cs="Times New Roman"/>
          <w:color w:val="000000" w:themeColor="text1"/>
          <w:lang w:val="zh-CN" w:eastAsia="zh-CN"/>
          <w14:textFill>
            <w14:solidFill>
              <w14:schemeClr w14:val="tx1"/>
            </w14:solidFill>
          </w14:textFill>
        </w:rPr>
      </w:pPr>
      <w:bookmarkStart w:id="305" w:name="_Toc129520625"/>
      <w:bookmarkStart w:id="306" w:name="_Toc28262"/>
      <w:bookmarkStart w:id="307" w:name="_Toc103178286"/>
      <w:bookmarkStart w:id="308" w:name="_Toc54294431"/>
      <w:bookmarkStart w:id="309" w:name="_Toc458245982"/>
      <w:bookmarkStart w:id="310" w:name="_Toc15863"/>
      <w:bookmarkStart w:id="311" w:name="_Toc51340665"/>
      <w:bookmarkStart w:id="312" w:name="_Toc31794"/>
      <w:r>
        <w:rPr>
          <w:rFonts w:hint="eastAsia" w:ascii="Times New Roman" w:hAnsi="Times New Roman" w:cs="Times New Roman"/>
          <w:color w:val="000000" w:themeColor="text1"/>
          <w:lang w:val="en-US" w:eastAsia="zh-CN"/>
          <w14:textFill>
            <w14:solidFill>
              <w14:schemeClr w14:val="tx1"/>
            </w14:solidFill>
          </w14:textFill>
        </w:rPr>
        <w:t>3.3.1</w:t>
      </w:r>
      <w:r>
        <w:rPr>
          <w:rFonts w:hint="eastAsia" w:ascii="Times New Roman" w:hAnsi="Times New Roman" w:eastAsia="黑体" w:cs="Times New Roman"/>
          <w:color w:val="000000" w:themeColor="text1"/>
          <w:lang w:val="zh-CN" w:eastAsia="zh-CN"/>
          <w14:textFill>
            <w14:solidFill>
              <w14:schemeClr w14:val="tx1"/>
            </w14:solidFill>
          </w14:textFill>
        </w:rPr>
        <w:t>运行失控与设备故障</w:t>
      </w:r>
      <w:bookmarkEnd w:id="305"/>
      <w:bookmarkEnd w:id="306"/>
      <w:bookmarkEnd w:id="307"/>
      <w:bookmarkEnd w:id="308"/>
      <w:bookmarkEnd w:id="309"/>
      <w:bookmarkEnd w:id="310"/>
      <w:bookmarkEnd w:id="311"/>
      <w:bookmarkEnd w:id="312"/>
    </w:p>
    <w:p w14:paraId="178B767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Times New Roman" w:eastAsia="宋体" w:cs="Times New Roman"/>
          <w:color w:val="000000" w:themeColor="text1"/>
          <w:sz w:val="28"/>
          <w:szCs w:val="28"/>
          <w14:textFill>
            <w14:solidFill>
              <w14:schemeClr w14:val="tx1"/>
            </w14:solidFill>
          </w14:textFill>
        </w:rPr>
      </w:pPr>
      <w:r>
        <w:rPr>
          <w:rFonts w:hint="eastAsia" w:ascii="宋体" w:hAnsi="Times New Roman" w:eastAsia="宋体" w:cs="Times New Roman"/>
          <w:color w:val="000000" w:themeColor="text1"/>
          <w:sz w:val="28"/>
          <w:szCs w:val="28"/>
          <w14:textFill>
            <w14:solidFill>
              <w14:schemeClr w14:val="tx1"/>
            </w14:solidFill>
          </w14:textFill>
        </w:rPr>
        <w:t>运行失控是指装置运行过程中偏离或超过了正常的工艺技术条件</w:t>
      </w:r>
      <w:r>
        <w:rPr>
          <w:rFonts w:hint="eastAsia" w:ascii="宋体" w:hAnsi="Times New Roman" w:eastAsia="宋体" w:cs="Times New Roman"/>
          <w:color w:val="000000" w:themeColor="text1"/>
          <w:sz w:val="28"/>
          <w:szCs w:val="28"/>
          <w:lang w:eastAsia="zh-CN"/>
          <w14:textFill>
            <w14:solidFill>
              <w14:schemeClr w14:val="tx1"/>
            </w14:solidFill>
          </w14:textFill>
        </w:rPr>
        <w:t>，</w:t>
      </w:r>
      <w:r>
        <w:rPr>
          <w:rFonts w:hint="eastAsia" w:ascii="宋体" w:hAnsi="Times New Roman" w:eastAsia="宋体" w:cs="Times New Roman"/>
          <w:color w:val="000000" w:themeColor="text1"/>
          <w:sz w:val="28"/>
          <w:szCs w:val="28"/>
          <w14:textFill>
            <w14:solidFill>
              <w14:schemeClr w14:val="tx1"/>
            </w14:solidFill>
          </w14:textFill>
        </w:rPr>
        <w:t>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减少。</w:t>
      </w:r>
    </w:p>
    <w:p w14:paraId="59E7497E">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cs="Times New Roman"/>
          <w:color w:val="000000" w:themeColor="text1"/>
          <w:lang w:val="en-US" w:eastAsia="zh-CN"/>
          <w14:textFill>
            <w14:solidFill>
              <w14:schemeClr w14:val="tx1"/>
            </w14:solidFill>
          </w14:textFill>
        </w:rPr>
      </w:pPr>
      <w:bookmarkStart w:id="313" w:name="_Toc129520626"/>
      <w:bookmarkStart w:id="314" w:name="_Toc15921"/>
      <w:bookmarkStart w:id="315" w:name="_Toc1925"/>
      <w:bookmarkStart w:id="316" w:name="_Toc51340666"/>
      <w:bookmarkStart w:id="317" w:name="_Toc103178287"/>
      <w:bookmarkStart w:id="318" w:name="_Toc458245983"/>
      <w:bookmarkStart w:id="319" w:name="_Toc3244"/>
      <w:bookmarkStart w:id="320" w:name="_Toc54294432"/>
      <w:r>
        <w:rPr>
          <w:rFonts w:hint="eastAsia" w:ascii="Times New Roman" w:hAnsi="Times New Roman" w:cs="Times New Roman"/>
          <w:color w:val="000000" w:themeColor="text1"/>
          <w:lang w:val="en-US" w:eastAsia="zh-CN"/>
          <w14:textFill>
            <w14:solidFill>
              <w14:schemeClr w14:val="tx1"/>
            </w14:solidFill>
          </w14:textFill>
        </w:rPr>
        <w:t>3.3.2人员失误</w:t>
      </w:r>
      <w:bookmarkEnd w:id="313"/>
      <w:bookmarkEnd w:id="314"/>
      <w:bookmarkEnd w:id="315"/>
      <w:bookmarkEnd w:id="316"/>
      <w:bookmarkEnd w:id="317"/>
      <w:bookmarkEnd w:id="318"/>
      <w:bookmarkEnd w:id="319"/>
      <w:bookmarkEnd w:id="320"/>
    </w:p>
    <w:p w14:paraId="6C3BFB9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Times New Roman" w:eastAsia="宋体" w:cs="Times New Roman"/>
          <w:color w:val="000000" w:themeColor="text1"/>
          <w:sz w:val="28"/>
          <w:szCs w:val="28"/>
          <w14:textFill>
            <w14:solidFill>
              <w14:schemeClr w14:val="tx1"/>
            </w14:solidFill>
          </w14:textFill>
        </w:rPr>
      </w:pPr>
      <w:r>
        <w:rPr>
          <w:rFonts w:hint="eastAsia" w:ascii="宋体" w:hAnsi="Times New Roman" w:eastAsia="宋体" w:cs="Times New Roman"/>
          <w:color w:val="000000" w:themeColor="text1"/>
          <w:sz w:val="28"/>
          <w:szCs w:val="28"/>
          <w14:textFill>
            <w14:solidFill>
              <w14:schemeClr w14:val="tx1"/>
            </w14:solidFill>
          </w14:textFill>
        </w:rPr>
        <w:t>人员失误系指不安全行为（指职工在劳动过程中违反劳动纪律、操作程序、方法等具有危险性</w:t>
      </w:r>
      <w:r>
        <w:rPr>
          <w:rFonts w:hint="eastAsia" w:ascii="宋体" w:hAnsi="Times New Roman" w:eastAsia="宋体" w:cs="Times New Roman"/>
          <w:color w:val="000000" w:themeColor="text1"/>
          <w:sz w:val="28"/>
          <w:szCs w:val="28"/>
          <w:lang w:eastAsia="zh-CN"/>
          <w14:textFill>
            <w14:solidFill>
              <w14:schemeClr w14:val="tx1"/>
            </w14:solidFill>
          </w14:textFill>
        </w:rPr>
        <w:t>的做法</w:t>
      </w:r>
      <w:r>
        <w:rPr>
          <w:rFonts w:hint="eastAsia" w:ascii="宋体" w:hAnsi="Times New Roman" w:eastAsia="宋体" w:cs="Times New Roman"/>
          <w:color w:val="000000" w:themeColor="text1"/>
          <w:sz w:val="28"/>
          <w:szCs w:val="28"/>
          <w14:textFill>
            <w14:solidFill>
              <w14:schemeClr w14:val="tx1"/>
            </w14:solidFill>
          </w14:textFill>
        </w:rPr>
        <w:t>）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14:paraId="0192F782">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cs="Times New Roman"/>
          <w:color w:val="000000" w:themeColor="text1"/>
          <w:lang w:val="en-US" w:eastAsia="zh-CN"/>
          <w14:textFill>
            <w14:solidFill>
              <w14:schemeClr w14:val="tx1"/>
            </w14:solidFill>
          </w14:textFill>
        </w:rPr>
      </w:pPr>
      <w:bookmarkStart w:id="321" w:name="_Toc54294433"/>
      <w:bookmarkStart w:id="322" w:name="_Toc458245984"/>
      <w:bookmarkStart w:id="323" w:name="_Toc129520627"/>
      <w:bookmarkStart w:id="324" w:name="_Toc103178288"/>
      <w:bookmarkStart w:id="325" w:name="_Toc19594"/>
      <w:bookmarkStart w:id="326" w:name="_Toc19947"/>
      <w:bookmarkStart w:id="327" w:name="_Toc51340667"/>
      <w:bookmarkStart w:id="328" w:name="_Toc21793"/>
      <w:r>
        <w:rPr>
          <w:rFonts w:hint="eastAsia" w:ascii="Times New Roman" w:hAnsi="Times New Roman" w:cs="Times New Roman"/>
          <w:color w:val="000000" w:themeColor="text1"/>
          <w:lang w:val="en-US" w:eastAsia="zh-CN"/>
          <w14:textFill>
            <w14:solidFill>
              <w14:schemeClr w14:val="tx1"/>
            </w14:solidFill>
          </w14:textFill>
        </w:rPr>
        <w:t>3.3.3管理缺陷</w:t>
      </w:r>
      <w:bookmarkEnd w:id="321"/>
      <w:bookmarkEnd w:id="322"/>
      <w:bookmarkEnd w:id="323"/>
      <w:bookmarkEnd w:id="324"/>
      <w:bookmarkEnd w:id="325"/>
      <w:bookmarkEnd w:id="326"/>
      <w:bookmarkEnd w:id="327"/>
      <w:bookmarkEnd w:id="328"/>
    </w:p>
    <w:p w14:paraId="06F848CA">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Times New Roman" w:eastAsia="宋体" w:cs="Times New Roman"/>
          <w:color w:val="000000" w:themeColor="text1"/>
          <w:sz w:val="28"/>
          <w:szCs w:val="28"/>
          <w14:textFill>
            <w14:solidFill>
              <w14:schemeClr w14:val="tx1"/>
            </w14:solidFill>
          </w14:textFill>
        </w:rPr>
      </w:pPr>
      <w:r>
        <w:rPr>
          <w:rFonts w:hint="eastAsia" w:ascii="宋体" w:hAnsi="Times New Roman" w:eastAsia="宋体" w:cs="Times New Roman"/>
          <w:color w:val="000000" w:themeColor="text1"/>
          <w:sz w:val="28"/>
          <w:szCs w:val="28"/>
          <w14:textFill>
            <w14:solidFill>
              <w14:schemeClr w14:val="tx1"/>
            </w14:solidFill>
          </w14:textFill>
        </w:rPr>
        <w:t>安全管理是为保证及时、有效地实现既定的安全目标，是在预测、分析的基础上进行的计划、组织、协调、检查等工作，是预防故障和人员失误发生的有效手段，因此，管理缺陷是影响运行失控发生的重要因素。</w:t>
      </w:r>
    </w:p>
    <w:p w14:paraId="6BE2F25D">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cs="Times New Roman"/>
          <w:color w:val="000000" w:themeColor="text1"/>
          <w:lang w:val="en-US" w:eastAsia="zh-CN"/>
          <w14:textFill>
            <w14:solidFill>
              <w14:schemeClr w14:val="tx1"/>
            </w14:solidFill>
          </w14:textFill>
        </w:rPr>
      </w:pPr>
      <w:bookmarkStart w:id="329" w:name="_Toc103178289"/>
      <w:bookmarkStart w:id="330" w:name="_Toc54294434"/>
      <w:bookmarkStart w:id="331" w:name="_Toc29774"/>
      <w:bookmarkStart w:id="332" w:name="_Toc458245985"/>
      <w:bookmarkStart w:id="333" w:name="_Toc129520628"/>
      <w:bookmarkStart w:id="334" w:name="_Toc31131"/>
      <w:bookmarkStart w:id="335" w:name="_Toc51340668"/>
      <w:bookmarkStart w:id="336" w:name="_Toc8544"/>
      <w:r>
        <w:rPr>
          <w:rFonts w:hint="eastAsia" w:ascii="Times New Roman" w:hAnsi="Times New Roman" w:cs="Times New Roman"/>
          <w:color w:val="000000" w:themeColor="text1"/>
          <w:lang w:val="en-US" w:eastAsia="zh-CN"/>
          <w14:textFill>
            <w14:solidFill>
              <w14:schemeClr w14:val="tx1"/>
            </w14:solidFill>
          </w14:textFill>
        </w:rPr>
        <w:t>3.3.4环境因素</w:t>
      </w:r>
      <w:bookmarkEnd w:id="329"/>
      <w:bookmarkEnd w:id="330"/>
      <w:bookmarkEnd w:id="331"/>
      <w:bookmarkEnd w:id="332"/>
      <w:bookmarkEnd w:id="333"/>
      <w:bookmarkEnd w:id="334"/>
      <w:bookmarkEnd w:id="335"/>
      <w:bookmarkEnd w:id="336"/>
    </w:p>
    <w:p w14:paraId="0381FB46">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Times New Roman" w:eastAsia="宋体" w:cs="Times New Roman"/>
          <w:color w:val="000000" w:themeColor="text1"/>
          <w:sz w:val="28"/>
          <w:szCs w:val="28"/>
          <w14:textFill>
            <w14:solidFill>
              <w14:schemeClr w14:val="tx1"/>
            </w14:solidFill>
          </w14:textFill>
        </w:rPr>
      </w:pPr>
      <w:r>
        <w:rPr>
          <w:rFonts w:hint="eastAsia" w:ascii="宋体" w:hAnsi="Times New Roman" w:eastAsia="宋体" w:cs="Times New Roman"/>
          <w:color w:val="000000" w:themeColor="text1"/>
          <w:sz w:val="28"/>
          <w:szCs w:val="28"/>
          <w14:textFill>
            <w14:solidFill>
              <w14:schemeClr w14:val="tx1"/>
            </w14:solidFill>
          </w14:textFill>
        </w:rPr>
        <w:t>不良环境的影响包括自然环境和作业环境。作业环境如温度、湿度、通风、照明、噪声、采光等因素的变化均可能导致人的情绪异常而引发误操作，从而引发事故；自然环境如风、雨、雷电、水文地质条件等均可能引发安全事故。</w:t>
      </w:r>
    </w:p>
    <w:bookmarkEnd w:id="282"/>
    <w:bookmarkEnd w:id="283"/>
    <w:bookmarkEnd w:id="284"/>
    <w:bookmarkEnd w:id="285"/>
    <w:bookmarkEnd w:id="286"/>
    <w:p w14:paraId="3ED96A98">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lang w:val="en-US" w:eastAsia="zh-CN"/>
          <w14:textFill>
            <w14:solidFill>
              <w14:schemeClr w14:val="tx1"/>
            </w14:solidFill>
          </w14:textFill>
        </w:rPr>
      </w:pPr>
      <w:bookmarkStart w:id="337" w:name="_Toc532203512"/>
      <w:bookmarkStart w:id="338" w:name="_Toc32537"/>
      <w:bookmarkStart w:id="339" w:name="_Toc7360"/>
      <w:bookmarkStart w:id="340" w:name="_Toc26114"/>
      <w:bookmarkStart w:id="341" w:name="_Toc329728275"/>
      <w:bookmarkStart w:id="342" w:name="_Toc4593"/>
      <w:r>
        <w:rPr>
          <w:rFonts w:hint="default" w:ascii="Times New Roman" w:hAnsi="Times New Roman" w:eastAsia="楷体" w:cs="Times New Roman"/>
          <w:color w:val="000000" w:themeColor="text1"/>
          <w14:textFill>
            <w14:solidFill>
              <w14:schemeClr w14:val="tx1"/>
            </w14:solidFill>
          </w14:textFill>
        </w:rPr>
        <w:t>3.</w:t>
      </w:r>
      <w:r>
        <w:rPr>
          <w:rFonts w:hint="default" w:ascii="Times New Roman" w:hAnsi="Times New Roman" w:eastAsia="楷体"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主要危险、有害物质</w:t>
      </w:r>
      <w:bookmarkEnd w:id="337"/>
      <w:bookmarkEnd w:id="338"/>
      <w:bookmarkEnd w:id="339"/>
      <w:bookmarkEnd w:id="340"/>
      <w:bookmarkEnd w:id="341"/>
      <w:r>
        <w:rPr>
          <w:rFonts w:hint="eastAsia" w:ascii="Times New Roman" w:hAnsi="Times New Roman" w:cs="Times New Roman"/>
          <w:color w:val="000000" w:themeColor="text1"/>
          <w:lang w:val="en-US" w:eastAsia="zh-CN"/>
          <w14:textFill>
            <w14:solidFill>
              <w14:schemeClr w14:val="tx1"/>
            </w14:solidFill>
          </w14:textFill>
        </w:rPr>
        <w:t>辨识与分析</w:t>
      </w:r>
      <w:bookmarkEnd w:id="342"/>
    </w:p>
    <w:p w14:paraId="161AAA5E">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343" w:name="_Toc61474411"/>
      <w:bookmarkStart w:id="344" w:name="_Toc31154"/>
      <w:bookmarkStart w:id="345" w:name="_Toc344298869"/>
      <w:bookmarkStart w:id="346" w:name="_Toc313453512"/>
      <w:bookmarkStart w:id="347" w:name="_Toc9036"/>
      <w:bookmarkStart w:id="348" w:name="_Toc30001389"/>
      <w:bookmarkStart w:id="349" w:name="_Toc27785"/>
      <w:r>
        <w:rPr>
          <w:rFonts w:hint="default" w:ascii="Times New Roman" w:hAnsi="Times New Roman" w:cs="Times New Roman"/>
          <w:color w:val="000000" w:themeColor="text1"/>
          <w:lang w:val="en-US" w:eastAsia="zh-CN"/>
          <w14:textFill>
            <w14:solidFill>
              <w14:schemeClr w14:val="tx1"/>
            </w14:solidFill>
          </w14:textFill>
        </w:rPr>
        <w:t>3.4.1主要危险、有害物质辨识</w:t>
      </w:r>
      <w:bookmarkEnd w:id="343"/>
      <w:bookmarkEnd w:id="344"/>
      <w:bookmarkEnd w:id="345"/>
      <w:bookmarkEnd w:id="346"/>
      <w:bookmarkEnd w:id="347"/>
      <w:bookmarkEnd w:id="348"/>
      <w:bookmarkEnd w:id="349"/>
    </w:p>
    <w:p w14:paraId="5D78A84D">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default" w:ascii="宋体" w:hAnsi="Times New Roman" w:eastAsia="宋体" w:cs="Times New Roman"/>
          <w:color w:val="000000" w:themeColor="text1"/>
          <w:sz w:val="28"/>
          <w:szCs w:val="28"/>
          <w14:textFill>
            <w14:solidFill>
              <w14:schemeClr w14:val="tx1"/>
            </w14:solidFill>
          </w14:textFill>
        </w:rPr>
      </w:pPr>
      <w:bookmarkStart w:id="350" w:name="_Toc225136744"/>
      <w:bookmarkStart w:id="351" w:name="_Toc313453513"/>
      <w:r>
        <w:rPr>
          <w:rFonts w:hint="default" w:ascii="宋体" w:hAnsi="Times New Roman" w:eastAsia="宋体" w:cs="Times New Roman"/>
          <w:color w:val="000000" w:themeColor="text1"/>
          <w:sz w:val="28"/>
          <w:szCs w:val="28"/>
          <w14:textFill>
            <w14:solidFill>
              <w14:schemeClr w14:val="tx1"/>
            </w14:solidFill>
          </w14:textFill>
        </w:rPr>
        <w:t>对</w:t>
      </w:r>
      <w:r>
        <w:rPr>
          <w:rFonts w:hint="default" w:ascii="宋体" w:hAnsi="Times New Roman" w:eastAsia="宋体" w:cs="Times New Roman"/>
          <w:color w:val="000000" w:themeColor="text1"/>
          <w:sz w:val="28"/>
          <w:szCs w:val="28"/>
          <w:lang w:val="en-US" w:eastAsia="zh-CN"/>
          <w14:textFill>
            <w14:solidFill>
              <w14:schemeClr w14:val="tx1"/>
            </w14:solidFill>
          </w14:textFill>
        </w:rPr>
        <w:t>牟定乾泰建材有限公司年产9000万块页岩多孔空心砖</w:t>
      </w:r>
      <w:r>
        <w:rPr>
          <w:rFonts w:hint="eastAsia" w:ascii="宋体" w:hAnsi="Times New Roman" w:eastAsia="宋体" w:cs="Times New Roman"/>
          <w:color w:val="000000" w:themeColor="text1"/>
          <w:sz w:val="28"/>
          <w:szCs w:val="28"/>
          <w:lang w:val="en-US" w:eastAsia="zh-CN"/>
          <w14:textFill>
            <w14:solidFill>
              <w14:schemeClr w14:val="tx1"/>
            </w14:solidFill>
          </w14:textFill>
        </w:rPr>
        <w:t>生产线技术改造</w:t>
      </w:r>
      <w:r>
        <w:rPr>
          <w:rFonts w:hint="default" w:ascii="宋体" w:hAnsi="Times New Roman" w:eastAsia="宋体" w:cs="Times New Roman"/>
          <w:color w:val="000000" w:themeColor="text1"/>
          <w:sz w:val="28"/>
          <w:szCs w:val="28"/>
          <w14:textFill>
            <w14:solidFill>
              <w14:schemeClr w14:val="tx1"/>
            </w14:solidFill>
          </w14:textFill>
        </w:rPr>
        <w:t>项目进行分析后，本项目所涉及的主要危险、有害物质有：</w:t>
      </w:r>
    </w:p>
    <w:p w14:paraId="773FC6FB">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default" w:ascii="宋体" w:hAnsi="Times New Roman" w:eastAsia="宋体" w:cs="Times New Roman"/>
          <w:color w:val="000000" w:themeColor="text1"/>
          <w:sz w:val="28"/>
          <w:szCs w:val="28"/>
          <w14:textFill>
            <w14:solidFill>
              <w14:schemeClr w14:val="tx1"/>
            </w14:solidFill>
          </w14:textFill>
        </w:rPr>
      </w:pPr>
      <w:r>
        <w:rPr>
          <w:rFonts w:hint="default" w:ascii="宋体" w:hAnsi="Times New Roman" w:eastAsia="宋体" w:cs="Times New Roman"/>
          <w:color w:val="000000" w:themeColor="text1"/>
          <w:sz w:val="28"/>
          <w:szCs w:val="28"/>
          <w14:textFill>
            <w14:solidFill>
              <w14:schemeClr w14:val="tx1"/>
            </w14:solidFill>
          </w14:textFill>
        </w:rPr>
        <w:t>1、项目在生产过程中使用的原料有煤矸石；</w:t>
      </w:r>
    </w:p>
    <w:p w14:paraId="4AA2077A">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default" w:ascii="宋体" w:hAnsi="Times New Roman" w:eastAsia="宋体" w:cs="Times New Roman"/>
          <w:color w:val="000000" w:themeColor="text1"/>
          <w:sz w:val="28"/>
          <w:szCs w:val="28"/>
          <w14:textFill>
            <w14:solidFill>
              <w14:schemeClr w14:val="tx1"/>
            </w14:solidFill>
          </w14:textFill>
        </w:rPr>
      </w:pPr>
      <w:r>
        <w:rPr>
          <w:rFonts w:hint="default" w:ascii="宋体" w:hAnsi="Times New Roman" w:eastAsia="宋体" w:cs="Times New Roman"/>
          <w:color w:val="000000" w:themeColor="text1"/>
          <w:sz w:val="28"/>
          <w:szCs w:val="28"/>
          <w14:textFill>
            <w14:solidFill>
              <w14:schemeClr w14:val="tx1"/>
            </w14:solidFill>
          </w14:textFill>
        </w:rPr>
        <w:t>2、脱硫使用的石灰</w:t>
      </w:r>
      <w:r>
        <w:rPr>
          <w:rFonts w:hint="eastAsia" w:ascii="宋体" w:hAnsi="Times New Roman" w:eastAsia="宋体" w:cs="Times New Roman"/>
          <w:color w:val="000000" w:themeColor="text1"/>
          <w:sz w:val="28"/>
          <w:szCs w:val="28"/>
          <w:lang w:eastAsia="zh-CN"/>
          <w14:textFill>
            <w14:solidFill>
              <w14:schemeClr w14:val="tx1"/>
            </w14:solidFill>
          </w14:textFill>
        </w:rPr>
        <w:t>、</w:t>
      </w:r>
      <w:r>
        <w:rPr>
          <w:rFonts w:hint="eastAsia" w:ascii="宋体" w:hAnsi="Times New Roman" w:eastAsia="宋体" w:cs="Times New Roman"/>
          <w:color w:val="000000" w:themeColor="text1"/>
          <w:sz w:val="28"/>
          <w:szCs w:val="28"/>
          <w14:textFill>
            <w14:solidFill>
              <w14:schemeClr w14:val="tx1"/>
            </w14:solidFill>
          </w14:textFill>
        </w:rPr>
        <w:t>氢氧化钠</w:t>
      </w:r>
      <w:r>
        <w:rPr>
          <w:rFonts w:hint="default" w:ascii="宋体" w:hAnsi="Times New Roman" w:eastAsia="宋体" w:cs="Times New Roman"/>
          <w:color w:val="000000" w:themeColor="text1"/>
          <w:sz w:val="28"/>
          <w:szCs w:val="28"/>
          <w14:textFill>
            <w14:solidFill>
              <w14:schemeClr w14:val="tx1"/>
            </w14:solidFill>
          </w14:textFill>
        </w:rPr>
        <w:t>；</w:t>
      </w:r>
    </w:p>
    <w:p w14:paraId="034001BA">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default" w:ascii="宋体" w:hAnsi="Times New Roman" w:eastAsia="宋体" w:cs="Times New Roman"/>
          <w:color w:val="000000" w:themeColor="text1"/>
          <w:sz w:val="28"/>
          <w:szCs w:val="28"/>
          <w14:textFill>
            <w14:solidFill>
              <w14:schemeClr w14:val="tx1"/>
            </w14:solidFill>
          </w14:textFill>
        </w:rPr>
      </w:pPr>
      <w:r>
        <w:rPr>
          <w:rFonts w:hint="default" w:ascii="宋体" w:hAnsi="Times New Roman" w:eastAsia="宋体" w:cs="Times New Roman"/>
          <w:color w:val="000000" w:themeColor="text1"/>
          <w:sz w:val="28"/>
          <w:szCs w:val="28"/>
          <w14:textFill>
            <w14:solidFill>
              <w14:schemeClr w14:val="tx1"/>
            </w14:solidFill>
          </w14:textFill>
        </w:rPr>
        <w:t>3、检修过程中使用的：氧气[压缩的]、乙炔等；</w:t>
      </w:r>
    </w:p>
    <w:p w14:paraId="56476C27">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default" w:ascii="宋体" w:hAnsi="Times New Roman" w:eastAsia="宋体" w:cs="Times New Roman"/>
          <w:color w:val="000000" w:themeColor="text1"/>
          <w:sz w:val="28"/>
          <w:szCs w:val="28"/>
          <w14:textFill>
            <w14:solidFill>
              <w14:schemeClr w14:val="tx1"/>
            </w14:solidFill>
          </w14:textFill>
        </w:rPr>
      </w:pPr>
      <w:r>
        <w:rPr>
          <w:rFonts w:hint="default" w:ascii="宋体" w:hAnsi="Times New Roman" w:eastAsia="宋体" w:cs="Times New Roman"/>
          <w:color w:val="000000" w:themeColor="text1"/>
          <w:sz w:val="28"/>
          <w:szCs w:val="28"/>
          <w14:textFill>
            <w14:solidFill>
              <w14:schemeClr w14:val="tx1"/>
            </w14:solidFill>
          </w14:textFill>
        </w:rPr>
        <w:t>4、设备使用的：润滑油、机油；</w:t>
      </w:r>
    </w:p>
    <w:p w14:paraId="7F4CAE43">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default" w:ascii="宋体" w:hAnsi="Times New Roman" w:eastAsia="宋体" w:cs="Times New Roman"/>
          <w:color w:val="000000" w:themeColor="text1"/>
          <w:sz w:val="28"/>
          <w:szCs w:val="28"/>
          <w14:textFill>
            <w14:solidFill>
              <w14:schemeClr w14:val="tx1"/>
            </w14:solidFill>
          </w14:textFill>
        </w:rPr>
      </w:pPr>
      <w:r>
        <w:rPr>
          <w:rFonts w:hint="default" w:ascii="宋体" w:hAnsi="Times New Roman" w:eastAsia="宋体" w:cs="Times New Roman"/>
          <w:color w:val="000000" w:themeColor="text1"/>
          <w:sz w:val="28"/>
          <w:szCs w:val="28"/>
          <w14:textFill>
            <w14:solidFill>
              <w14:schemeClr w14:val="tx1"/>
            </w14:solidFill>
          </w14:textFill>
        </w:rPr>
        <w:t>5、装载机、</w:t>
      </w:r>
      <w:r>
        <w:rPr>
          <w:rFonts w:hint="eastAsia" w:ascii="宋体" w:hAnsi="Times New Roman" w:eastAsia="宋体" w:cs="Times New Roman"/>
          <w:color w:val="000000" w:themeColor="text1"/>
          <w:sz w:val="28"/>
          <w:szCs w:val="28"/>
          <w:lang w:val="en-US" w:eastAsia="zh-CN"/>
          <w14:textFill>
            <w14:solidFill>
              <w14:schemeClr w14:val="tx1"/>
            </w14:solidFill>
          </w14:textFill>
        </w:rPr>
        <w:t>叉车</w:t>
      </w:r>
      <w:r>
        <w:rPr>
          <w:rFonts w:hint="default" w:ascii="宋体" w:hAnsi="Times New Roman" w:eastAsia="宋体" w:cs="Times New Roman"/>
          <w:color w:val="000000" w:themeColor="text1"/>
          <w:sz w:val="28"/>
          <w:szCs w:val="28"/>
          <w14:textFill>
            <w14:solidFill>
              <w14:schemeClr w14:val="tx1"/>
            </w14:solidFill>
          </w14:textFill>
        </w:rPr>
        <w:t>使用的：柴油；</w:t>
      </w:r>
    </w:p>
    <w:p w14:paraId="072B71BE">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default" w:ascii="宋体" w:hAnsi="Times New Roman" w:eastAsia="宋体" w:cs="Times New Roman"/>
          <w:color w:val="000000" w:themeColor="text1"/>
          <w:sz w:val="28"/>
          <w:szCs w:val="28"/>
          <w14:textFill>
            <w14:solidFill>
              <w14:schemeClr w14:val="tx1"/>
            </w14:solidFill>
          </w14:textFill>
        </w:rPr>
      </w:pPr>
      <w:r>
        <w:rPr>
          <w:rFonts w:hint="default" w:ascii="宋体" w:hAnsi="Times New Roman" w:eastAsia="宋体" w:cs="Times New Roman"/>
          <w:color w:val="000000" w:themeColor="text1"/>
          <w:sz w:val="28"/>
          <w:szCs w:val="28"/>
          <w14:textFill>
            <w14:solidFill>
              <w14:schemeClr w14:val="tx1"/>
            </w14:solidFill>
          </w14:textFill>
        </w:rPr>
        <w:t>6、制砖过程使用的压缩空气；</w:t>
      </w:r>
    </w:p>
    <w:p w14:paraId="5642606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default" w:ascii="宋体" w:hAnsi="Times New Roman" w:eastAsia="宋体" w:cs="Times New Roman"/>
          <w:color w:val="000000" w:themeColor="text1"/>
          <w:sz w:val="28"/>
          <w:szCs w:val="28"/>
          <w14:textFill>
            <w14:solidFill>
              <w14:schemeClr w14:val="tx1"/>
            </w14:solidFill>
          </w14:textFill>
        </w:rPr>
      </w:pPr>
      <w:r>
        <w:rPr>
          <w:rFonts w:hint="default" w:ascii="宋体" w:hAnsi="Times New Roman" w:eastAsia="宋体" w:cs="Times New Roman"/>
          <w:color w:val="000000" w:themeColor="text1"/>
          <w:sz w:val="28"/>
          <w:szCs w:val="28"/>
          <w14:textFill>
            <w14:solidFill>
              <w14:schemeClr w14:val="tx1"/>
            </w14:solidFill>
          </w14:textFill>
        </w:rPr>
        <w:t>7、隧道窑焙烧过程产生的隧道烟气（含二氧化硫、一氧化碳、烟尘）。</w:t>
      </w:r>
    </w:p>
    <w:p w14:paraId="28810986">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352" w:name="_Toc30001390"/>
      <w:bookmarkStart w:id="353" w:name="_Toc344298870"/>
      <w:bookmarkStart w:id="354" w:name="_Toc11687"/>
      <w:bookmarkStart w:id="355" w:name="_Toc26451"/>
      <w:bookmarkStart w:id="356" w:name="_Toc11202"/>
      <w:bookmarkStart w:id="357" w:name="_Toc61474412"/>
      <w:r>
        <w:rPr>
          <w:rFonts w:hint="default" w:ascii="Times New Roman" w:hAnsi="Times New Roman" w:cs="Times New Roman"/>
          <w:color w:val="000000" w:themeColor="text1"/>
          <w:lang w:val="en-US" w:eastAsia="zh-CN"/>
          <w14:textFill>
            <w14:solidFill>
              <w14:schemeClr w14:val="tx1"/>
            </w14:solidFill>
          </w14:textFill>
        </w:rPr>
        <w:t>3.4.2危险化学品辨识</w:t>
      </w:r>
      <w:bookmarkEnd w:id="350"/>
      <w:bookmarkEnd w:id="351"/>
      <w:bookmarkEnd w:id="352"/>
      <w:bookmarkEnd w:id="353"/>
      <w:bookmarkEnd w:id="354"/>
      <w:bookmarkEnd w:id="355"/>
      <w:bookmarkEnd w:id="356"/>
      <w:bookmarkEnd w:id="357"/>
    </w:p>
    <w:p w14:paraId="42E62182">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bookmarkStart w:id="358" w:name="_Toc344298871"/>
      <w:r>
        <w:rPr>
          <w:rFonts w:hint="default" w:ascii="Times New Roman" w:hAnsi="Times New Roman" w:eastAsia="宋体" w:cs="Times New Roman"/>
          <w:color w:val="000000" w:themeColor="text1"/>
          <w:kern w:val="0"/>
          <w14:textFill>
            <w14:solidFill>
              <w14:schemeClr w14:val="tx1"/>
            </w14:solidFill>
          </w14:textFill>
        </w:rPr>
        <w:t>3.4.2.1危险化学品辨识</w:t>
      </w:r>
      <w:bookmarkEnd w:id="358"/>
    </w:p>
    <w:p w14:paraId="419081C2">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依据</w:t>
      </w:r>
      <w:r>
        <w:rPr>
          <w:color w:val="000000" w:themeColor="text1"/>
          <w:sz w:val="28"/>
          <w14:textFill>
            <w14:solidFill>
              <w14:schemeClr w14:val="tx1"/>
            </w14:solidFill>
          </w14:textFill>
        </w:rPr>
        <w:t>《危险化学品目录（2015版）》（原国家安全生产监督管理总局等十部委公告2015年第5号）</w:t>
      </w:r>
      <w:r>
        <w:rPr>
          <w:rFonts w:hint="eastAsia"/>
          <w:color w:val="000000" w:themeColor="text1"/>
          <w:sz w:val="28"/>
          <w14:textFill>
            <w14:solidFill>
              <w14:schemeClr w14:val="tx1"/>
            </w14:solidFill>
          </w14:textFill>
        </w:rPr>
        <w:t>、</w:t>
      </w:r>
      <w:r>
        <w:rPr>
          <w:color w:val="000000" w:themeColor="text1"/>
          <w:sz w:val="28"/>
          <w14:textFill>
            <w14:solidFill>
              <w14:schemeClr w14:val="tx1"/>
            </w14:solidFill>
          </w14:textFill>
        </w:rPr>
        <w:t>《应急管理部办公厅关于修改&lt;危险化学品目录（2015版）实施指南（试行）&gt;涉及柴油部分内容的通知》（应急厅函〔2022〕300号，自2023年1月1日起实施）</w:t>
      </w:r>
      <w:r>
        <w:rPr>
          <w:snapToGrid w:val="0"/>
          <w:color w:val="000000" w:themeColor="text1"/>
          <w:kern w:val="0"/>
          <w:sz w:val="28"/>
          <w:szCs w:val="28"/>
          <w14:textFill>
            <w14:solidFill>
              <w14:schemeClr w14:val="tx1"/>
            </w14:solidFill>
          </w14:textFill>
        </w:rPr>
        <w:t>判</w:t>
      </w:r>
      <w:r>
        <w:rPr>
          <w:color w:val="000000" w:themeColor="text1"/>
          <w:sz w:val="28"/>
          <w:szCs w:val="28"/>
          <w14:textFill>
            <w14:solidFill>
              <w14:schemeClr w14:val="tx1"/>
            </w14:solidFill>
          </w14:textFill>
        </w:rPr>
        <w:t>定可知，</w:t>
      </w:r>
      <w:r>
        <w:rPr>
          <w:rFonts w:hint="default" w:ascii="宋体" w:hAnsi="Times New Roman" w:eastAsia="宋体" w:cs="Times New Roman"/>
          <w:color w:val="000000" w:themeColor="text1"/>
          <w:sz w:val="28"/>
          <w:szCs w:val="28"/>
          <w:lang w:val="en-US" w:eastAsia="zh-CN"/>
          <w14:textFill>
            <w14:solidFill>
              <w14:schemeClr w14:val="tx1"/>
            </w14:solidFill>
          </w14:textFill>
        </w:rPr>
        <w:t>牟定乾泰建材有限公司年产9000万块页岩多孔空心砖</w:t>
      </w:r>
      <w:r>
        <w:rPr>
          <w:rFonts w:hint="eastAsia" w:ascii="宋体" w:hAnsi="Times New Roman" w:eastAsia="宋体" w:cs="Times New Roman"/>
          <w:color w:val="000000" w:themeColor="text1"/>
          <w:sz w:val="28"/>
          <w:szCs w:val="28"/>
          <w:lang w:val="en-US" w:eastAsia="zh-CN"/>
          <w14:textFill>
            <w14:solidFill>
              <w14:schemeClr w14:val="tx1"/>
            </w14:solidFill>
          </w14:textFill>
        </w:rPr>
        <w:t>生产线技术改造</w:t>
      </w:r>
      <w:r>
        <w:rPr>
          <w:rFonts w:hint="default" w:ascii="宋体" w:hAnsi="Times New Roman" w:eastAsia="宋体" w:cs="Times New Roman"/>
          <w:color w:val="000000" w:themeColor="text1"/>
          <w:sz w:val="28"/>
          <w:szCs w:val="28"/>
          <w14:textFill>
            <w14:solidFill>
              <w14:schemeClr w14:val="tx1"/>
            </w14:solidFill>
          </w14:textFill>
        </w:rPr>
        <w:t>项目</w:t>
      </w:r>
      <w:r>
        <w:rPr>
          <w:color w:val="000000" w:themeColor="text1"/>
          <w:sz w:val="28"/>
          <w:szCs w:val="28"/>
          <w14:textFill>
            <w14:solidFill>
              <w14:schemeClr w14:val="tx1"/>
            </w14:solidFill>
          </w14:textFill>
        </w:rPr>
        <w:t>正常运行过程中</w:t>
      </w:r>
      <w:r>
        <w:rPr>
          <w:rFonts w:hint="eastAsia"/>
          <w:color w:val="000000" w:themeColor="text1"/>
          <w:sz w:val="28"/>
          <w:szCs w:val="28"/>
          <w14:textFill>
            <w14:solidFill>
              <w14:schemeClr w14:val="tx1"/>
            </w14:solidFill>
          </w14:textFill>
        </w:rPr>
        <w:t>涉及的</w:t>
      </w:r>
      <w:r>
        <w:rPr>
          <w:color w:val="000000" w:themeColor="text1"/>
          <w:sz w:val="28"/>
          <w:szCs w:val="28"/>
          <w14:textFill>
            <w14:solidFill>
              <w14:schemeClr w14:val="tx1"/>
            </w14:solidFill>
          </w14:textFill>
        </w:rPr>
        <w:t>危险化学品有：</w:t>
      </w:r>
      <w:r>
        <w:rPr>
          <w:bCs/>
          <w:color w:val="000000" w:themeColor="text1"/>
          <w:spacing w:val="8"/>
          <w:sz w:val="28"/>
          <w:szCs w:val="28"/>
          <w14:textFill>
            <w14:solidFill>
              <w14:schemeClr w14:val="tx1"/>
            </w14:solidFill>
          </w14:textFill>
        </w:rPr>
        <w:t>氧（压缩的）、乙炔、柴油</w:t>
      </w:r>
      <w:r>
        <w:rPr>
          <w:rFonts w:hint="eastAsia"/>
          <w:bCs/>
          <w:color w:val="000000" w:themeColor="text1"/>
          <w:spacing w:val="8"/>
          <w:sz w:val="28"/>
          <w:szCs w:val="28"/>
          <w:lang w:eastAsia="zh-CN"/>
          <w14:textFill>
            <w14:solidFill>
              <w14:schemeClr w14:val="tx1"/>
            </w14:solidFill>
          </w14:textFill>
        </w:rPr>
        <w:t>、</w:t>
      </w:r>
      <w:r>
        <w:rPr>
          <w:rFonts w:hint="default" w:ascii="Times New Roman" w:hAnsi="Times New Roman" w:cs="Times New Roman"/>
          <w:bCs/>
          <w:color w:val="000000" w:themeColor="text1"/>
          <w:spacing w:val="8"/>
          <w:sz w:val="28"/>
          <w:szCs w:val="28"/>
          <w14:textFill>
            <w14:solidFill>
              <w14:schemeClr w14:val="tx1"/>
            </w14:solidFill>
          </w14:textFill>
        </w:rPr>
        <w:t>烟气中含有的一氧化碳和二氧化硫。</w:t>
      </w:r>
    </w:p>
    <w:p w14:paraId="51246426">
      <w:pPr>
        <w:tabs>
          <w:tab w:val="left" w:pos="6915"/>
        </w:tabs>
        <w:adjustRightInd w:val="0"/>
        <w:snapToGrid w:val="0"/>
        <w:spacing w:line="500" w:lineRule="exact"/>
        <w:ind w:firstLine="56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虽然压缩空气、煤矸石、</w:t>
      </w:r>
      <w:r>
        <w:rPr>
          <w:rFonts w:hint="default" w:ascii="Times New Roman" w:hAnsi="Times New Roman" w:cs="Times New Roman"/>
          <w:color w:val="000000" w:themeColor="text1"/>
          <w:kern w:val="0"/>
          <w:sz w:val="28"/>
          <w:szCs w:val="28"/>
          <w14:textFill>
            <w14:solidFill>
              <w14:schemeClr w14:val="tx1"/>
            </w14:solidFill>
          </w14:textFill>
        </w:rPr>
        <w:t>机油、润滑油</w:t>
      </w:r>
      <w:r>
        <w:rPr>
          <w:rFonts w:hint="default" w:ascii="Times New Roman" w:hAnsi="Times New Roman" w:cs="Times New Roman"/>
          <w:snapToGrid w:val="0"/>
          <w:color w:val="000000" w:themeColor="text1"/>
          <w:kern w:val="0"/>
          <w:sz w:val="28"/>
          <w:szCs w:val="28"/>
          <w14:textFill>
            <w14:solidFill>
              <w14:schemeClr w14:val="tx1"/>
            </w14:solidFill>
          </w14:textFill>
        </w:rPr>
        <w:t>未被列入危险化学品，但具有一定的危险性</w:t>
      </w:r>
      <w:r>
        <w:rPr>
          <w:rFonts w:hint="default" w:ascii="Times New Roman" w:hAnsi="Times New Roman" w:cs="Times New Roman"/>
          <w:color w:val="000000" w:themeColor="text1"/>
          <w:sz w:val="28"/>
          <w:szCs w:val="28"/>
          <w14:textFill>
            <w14:solidFill>
              <w14:schemeClr w14:val="tx1"/>
            </w14:solidFill>
          </w14:textFill>
        </w:rPr>
        <w:t>。润滑油为可燃物质，在储存、使用过程中存在火灾的危险。</w:t>
      </w:r>
    </w:p>
    <w:p w14:paraId="172617AF">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bookmarkStart w:id="359" w:name="_Toc344298872"/>
      <w:r>
        <w:rPr>
          <w:rFonts w:hint="default" w:ascii="Times New Roman" w:hAnsi="Times New Roman" w:eastAsia="宋体" w:cs="Times New Roman"/>
          <w:color w:val="000000" w:themeColor="text1"/>
          <w:kern w:val="0"/>
          <w14:textFill>
            <w14:solidFill>
              <w14:schemeClr w14:val="tx1"/>
            </w14:solidFill>
          </w14:textFill>
        </w:rPr>
        <w:t>3.4.2.2剧毒品、易制毒品、监控化学品及重点监管危险化学品辨识</w:t>
      </w:r>
      <w:bookmarkEnd w:id="359"/>
    </w:p>
    <w:p w14:paraId="1275FDEF">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w:t>
      </w:r>
      <w:r>
        <w:rPr>
          <w:rFonts w:hint="default" w:ascii="Times New Roman" w:hAnsi="Times New Roman" w:cs="Times New Roman"/>
          <w:color w:val="000000" w:themeColor="text1"/>
          <w:sz w:val="28"/>
          <w:szCs w:val="21"/>
          <w14:textFill>
            <w14:solidFill>
              <w14:schemeClr w14:val="tx1"/>
            </w14:solidFill>
          </w14:textFill>
        </w:rPr>
        <w:t>《危险化学品目录（2022调整版）》</w:t>
      </w:r>
      <w:r>
        <w:rPr>
          <w:rFonts w:hint="default" w:ascii="Times New Roman" w:hAnsi="Times New Roman" w:cs="Times New Roman"/>
          <w:color w:val="000000" w:themeColor="text1"/>
          <w:sz w:val="28"/>
          <w:szCs w:val="28"/>
          <w14:textFill>
            <w14:solidFill>
              <w14:schemeClr w14:val="tx1"/>
            </w14:solidFill>
          </w14:textFill>
        </w:rPr>
        <w:t>的相关规定，该项目在生产过程中未涉及剧毒化学品。</w:t>
      </w:r>
    </w:p>
    <w:p w14:paraId="64E209D5">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易制毒化学品管理条例》（国务院令第445号，根据国务院第666号令修改）、《非药品类易制毒化学品生产、经营许可办法》（国家安全生产监督管理总局令第5号）、《国务院办公厅关于同意将N-苯乙基-4-哌啶酮、4-苯胺基-N-苯乙基哌啶、N-甲基-1-苯基-1-氯-2-丙胺、溴素、1-苯基-1-丙酮列入易制毒化学品品种目录的函》（国办函〔2017）120号）的相关规定，该项目在生产过程中未涉及易制毒化学品。</w:t>
      </w:r>
    </w:p>
    <w:p w14:paraId="6E3FFB3C">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根据《易制爆危险化学品名录（2017版）》，该项目在生产过程中未涉及易制爆危险化学品。</w:t>
      </w:r>
    </w:p>
    <w:p w14:paraId="2A103CB4">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根据《中华人民共和国监控化学品管理条例》</w:t>
      </w:r>
      <w:r>
        <w:rPr>
          <w:rFonts w:hint="default" w:ascii="Times New Roman" w:hAnsi="Times New Roman" w:cs="Times New Roman"/>
          <w:color w:val="000000" w:themeColor="text1"/>
          <w:kern w:val="0"/>
          <w:sz w:val="28"/>
          <w:szCs w:val="28"/>
          <w14:textFill>
            <w14:solidFill>
              <w14:schemeClr w14:val="tx1"/>
            </w14:solidFill>
          </w14:textFill>
        </w:rPr>
        <w:t>（</w:t>
      </w:r>
      <w:r>
        <w:rPr>
          <w:rFonts w:hint="default" w:ascii="Times New Roman" w:hAnsi="Times New Roman" w:cs="Times New Roman"/>
          <w:color w:val="000000" w:themeColor="text1"/>
          <w:sz w:val="28"/>
          <w:szCs w:val="20"/>
          <w14:textFill>
            <w14:solidFill>
              <w14:schemeClr w14:val="tx1"/>
            </w14:solidFill>
          </w14:textFill>
        </w:rPr>
        <w:t>中华人民共和国国务院令第190号公布，中华人民共和国国务院令第588号修订）</w:t>
      </w:r>
      <w:r>
        <w:rPr>
          <w:rFonts w:hint="default" w:ascii="Times New Roman" w:hAnsi="Times New Roman" w:cs="Times New Roman"/>
          <w:color w:val="000000" w:themeColor="text1"/>
          <w:sz w:val="28"/>
          <w:szCs w:val="28"/>
          <w14:textFill>
            <w14:solidFill>
              <w14:schemeClr w14:val="tx1"/>
            </w14:solidFill>
          </w14:textFill>
        </w:rPr>
        <w:t>，该项目在生产过程中未涉及监控化学品。</w:t>
      </w:r>
    </w:p>
    <w:p w14:paraId="36BFB3D9">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国家安全监管总局关于公布首批重点监管的危险化学品名录的通知》（安监总管三〔2011〕95号）、《国家安全监管总局关于公布第二批重点监管危险化学品名录的通知》（安监总管三〔2013〕12号）进行判定，该项目在生产过程中涉及重点监管的危险化学品有乙炔、烟气中的一氧化碳和二氧化硫。</w:t>
      </w:r>
    </w:p>
    <w:p w14:paraId="6CCF2504">
      <w:pPr>
        <w:adjustRightInd w:val="0"/>
        <w:snapToGrid w:val="0"/>
        <w:spacing w:line="500" w:lineRule="exact"/>
        <w:ind w:firstLine="560" w:firstLineChars="200"/>
        <w:rPr>
          <w:rFonts w:hint="default" w:ascii="Times New Roman" w:hAnsi="Times New Roman" w:eastAsia="宋体" w:cs="Times New Roman"/>
          <w:color w:val="000000" w:themeColor="text1"/>
          <w:sz w:val="28"/>
          <w:szCs w:val="28"/>
          <w:lang w:val="zh-CN"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综上所述，该项目未涉及监控化学品，未涉及易制毒化学品，未涉及剧毒化学品，未涉及易制爆危险化学品，涉及到的重点监管的危险化学品有施工、检维修过程中使用的乙炔、烟气中的一氧化碳和二氧化硫。</w:t>
      </w:r>
    </w:p>
    <w:p w14:paraId="3C7FC917">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360" w:name="_Toc9831"/>
      <w:bookmarkStart w:id="361" w:name="_Toc11387"/>
      <w:bookmarkStart w:id="362" w:name="_Toc532203513"/>
      <w:bookmarkStart w:id="363" w:name="_Toc18995"/>
      <w:r>
        <w:rPr>
          <w:rFonts w:hint="default" w:ascii="Times New Roman" w:hAnsi="Times New Roman" w:cs="Times New Roman"/>
          <w:color w:val="000000" w:themeColor="text1"/>
          <w:lang w:val="en-US" w:eastAsia="zh-CN"/>
          <w14:textFill>
            <w14:solidFill>
              <w14:schemeClr w14:val="tx1"/>
            </w14:solidFill>
          </w14:textFill>
        </w:rPr>
        <w:t>3.4.</w:t>
      </w:r>
      <w:r>
        <w:rPr>
          <w:rFonts w:hint="eastAsia" w:ascii="Times New Roman" w:hAnsi="Times New Roman" w:cs="Times New Roman"/>
          <w:color w:val="000000" w:themeColor="text1"/>
          <w:lang w:val="en-US" w:eastAsia="zh-CN"/>
          <w14:textFill>
            <w14:solidFill>
              <w14:schemeClr w14:val="tx1"/>
            </w14:solidFill>
          </w14:textFill>
        </w:rPr>
        <w:t xml:space="preserve">3 </w:t>
      </w:r>
      <w:bookmarkEnd w:id="360"/>
      <w:bookmarkEnd w:id="361"/>
      <w:bookmarkEnd w:id="362"/>
      <w:r>
        <w:rPr>
          <w:rFonts w:hint="eastAsia" w:ascii="Times New Roman" w:hAnsi="Times New Roman" w:cs="Times New Roman"/>
          <w:color w:val="000000" w:themeColor="text1"/>
          <w:lang w:val="en-US" w:eastAsia="zh-CN"/>
          <w14:textFill>
            <w14:solidFill>
              <w14:schemeClr w14:val="tx1"/>
            </w14:solidFill>
          </w14:textFill>
        </w:rPr>
        <w:t>危险物质的理化特性</w:t>
      </w:r>
      <w:bookmarkEnd w:id="363"/>
    </w:p>
    <w:p w14:paraId="0F2C1E29">
      <w:pPr>
        <w:keepNext/>
        <w:keepLines/>
        <w:pageBreakBefore w:val="0"/>
        <w:widowControl w:val="0"/>
        <w:tabs>
          <w:tab w:val="left" w:pos="2924"/>
          <w:tab w:val="center" w:pos="4522"/>
        </w:tabs>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b/>
          <w:bCs/>
          <w:color w:val="000000" w:themeColor="text1"/>
          <w:sz w:val="24"/>
          <w:szCs w:val="24"/>
          <w:lang w:val="zh-CN"/>
          <w14:textFill>
            <w14:solidFill>
              <w14:schemeClr w14:val="tx1"/>
            </w14:solidFill>
          </w14:textFill>
        </w:rPr>
      </w:pPr>
      <w:r>
        <w:rPr>
          <w:rFonts w:hint="eastAsia" w:ascii="宋体" w:hAnsi="宋体" w:eastAsia="宋体" w:cs="宋体"/>
          <w:b/>
          <w:bCs/>
          <w:color w:val="000000" w:themeColor="text1"/>
          <w:sz w:val="24"/>
          <w:szCs w:val="24"/>
          <w:lang w:val="zh-CN"/>
          <w14:textFill>
            <w14:solidFill>
              <w14:schemeClr w14:val="tx1"/>
            </w14:solidFill>
          </w14:textFill>
        </w:rPr>
        <w:t>表</w:t>
      </w:r>
      <w:r>
        <w:rPr>
          <w:rFonts w:hint="eastAsia" w:ascii="宋体" w:hAnsi="宋体" w:eastAsia="宋体" w:cs="宋体"/>
          <w:b/>
          <w:bCs/>
          <w:color w:val="000000" w:themeColor="text1"/>
          <w:sz w:val="24"/>
          <w:szCs w:val="24"/>
          <w14:textFill>
            <w14:solidFill>
              <w14:schemeClr w14:val="tx1"/>
            </w14:solidFill>
          </w14:textFill>
        </w:rPr>
        <w:t xml:space="preserve">3-1 </w:t>
      </w:r>
      <w:r>
        <w:rPr>
          <w:rFonts w:hint="eastAsia" w:ascii="宋体" w:hAnsi="宋体" w:eastAsia="宋体" w:cs="宋体"/>
          <w:b/>
          <w:bCs/>
          <w:color w:val="000000" w:themeColor="text1"/>
          <w:sz w:val="24"/>
          <w:szCs w:val="24"/>
          <w:lang w:val="en-US" w:eastAsia="zh-CN"/>
          <w14:textFill>
            <w14:solidFill>
              <w14:schemeClr w14:val="tx1"/>
            </w14:solidFill>
          </w14:textFill>
        </w:rPr>
        <w:t>柴油的</w:t>
      </w:r>
      <w:r>
        <w:rPr>
          <w:rFonts w:hint="eastAsia" w:ascii="宋体" w:hAnsi="宋体" w:eastAsia="宋体" w:cs="宋体"/>
          <w:b/>
          <w:bCs/>
          <w:color w:val="000000" w:themeColor="text1"/>
          <w:sz w:val="24"/>
          <w:szCs w:val="24"/>
          <w:lang w:val="zh-CN"/>
          <w14:textFill>
            <w14:solidFill>
              <w14:schemeClr w14:val="tx1"/>
            </w14:solidFill>
          </w14:textFill>
        </w:rPr>
        <w:t>理化特性表</w:t>
      </w:r>
    </w:p>
    <w:tbl>
      <w:tblPr>
        <w:tblStyle w:val="51"/>
        <w:tblW w:w="83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735"/>
        <w:gridCol w:w="490"/>
        <w:gridCol w:w="1403"/>
        <w:gridCol w:w="1458"/>
        <w:gridCol w:w="2628"/>
      </w:tblGrid>
      <w:tr w14:paraId="356D2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shd w:val="clear" w:color="auto" w:fill="auto"/>
            <w:vAlign w:val="center"/>
          </w:tcPr>
          <w:p w14:paraId="5B3ED4B6">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品名</w:t>
            </w:r>
          </w:p>
        </w:tc>
        <w:tc>
          <w:tcPr>
            <w:tcW w:w="3628" w:type="dxa"/>
            <w:gridSpan w:val="3"/>
            <w:shd w:val="clear" w:color="auto" w:fill="auto"/>
            <w:vAlign w:val="center"/>
          </w:tcPr>
          <w:p w14:paraId="437EAD79">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柴油</w:t>
            </w:r>
          </w:p>
        </w:tc>
        <w:tc>
          <w:tcPr>
            <w:tcW w:w="1458" w:type="dxa"/>
            <w:shd w:val="clear" w:color="auto" w:fill="auto"/>
            <w:vAlign w:val="center"/>
          </w:tcPr>
          <w:p w14:paraId="3D953A56">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别名</w:t>
            </w:r>
          </w:p>
        </w:tc>
        <w:tc>
          <w:tcPr>
            <w:tcW w:w="2628" w:type="dxa"/>
            <w:shd w:val="clear" w:color="auto" w:fill="auto"/>
            <w:vAlign w:val="center"/>
          </w:tcPr>
          <w:p w14:paraId="5F0A994B">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r>
      <w:tr w14:paraId="7E91D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restart"/>
            <w:shd w:val="clear" w:color="auto" w:fill="auto"/>
            <w:vAlign w:val="center"/>
          </w:tcPr>
          <w:p w14:paraId="7B882359">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理化</w:t>
            </w:r>
          </w:p>
          <w:p w14:paraId="08A44619">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性质</w:t>
            </w:r>
          </w:p>
        </w:tc>
        <w:tc>
          <w:tcPr>
            <w:tcW w:w="2225" w:type="dxa"/>
            <w:gridSpan w:val="2"/>
            <w:shd w:val="clear" w:color="auto" w:fill="auto"/>
            <w:vAlign w:val="center"/>
          </w:tcPr>
          <w:p w14:paraId="39995296">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闪点</w:t>
            </w:r>
          </w:p>
        </w:tc>
        <w:tc>
          <w:tcPr>
            <w:tcW w:w="1403" w:type="dxa"/>
            <w:shd w:val="clear" w:color="auto" w:fill="auto"/>
            <w:vAlign w:val="center"/>
          </w:tcPr>
          <w:p w14:paraId="4E5EDF37">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lang w:val="en-US" w:eastAsia="zh-CN"/>
                <w14:textFill>
                  <w14:solidFill>
                    <w14:schemeClr w14:val="tx1"/>
                  </w14:solidFill>
                </w14:textFill>
              </w:rPr>
              <w:t>60-90</w:t>
            </w:r>
            <w:r>
              <w:rPr>
                <w:rFonts w:hint="eastAsia" w:ascii="宋体" w:hAnsi="宋体" w:eastAsia="宋体" w:cs="宋体"/>
                <w:color w:val="000000" w:themeColor="text1"/>
                <w:spacing w:val="-12"/>
                <w:sz w:val="21"/>
                <w:szCs w:val="21"/>
                <w14:textFill>
                  <w14:solidFill>
                    <w14:schemeClr w14:val="tx1"/>
                  </w14:solidFill>
                </w14:textFill>
              </w:rPr>
              <w:t>℃</w:t>
            </w:r>
          </w:p>
        </w:tc>
        <w:tc>
          <w:tcPr>
            <w:tcW w:w="1458" w:type="dxa"/>
            <w:shd w:val="clear" w:color="auto" w:fill="auto"/>
            <w:vAlign w:val="center"/>
          </w:tcPr>
          <w:p w14:paraId="503BD3AF">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沸点</w:t>
            </w:r>
          </w:p>
        </w:tc>
        <w:tc>
          <w:tcPr>
            <w:tcW w:w="2628" w:type="dxa"/>
            <w:shd w:val="clear" w:color="auto" w:fill="auto"/>
            <w:vAlign w:val="center"/>
          </w:tcPr>
          <w:p w14:paraId="4CB7EED2">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1</w:t>
            </w:r>
            <w:r>
              <w:rPr>
                <w:rFonts w:hint="eastAsia" w:ascii="宋体" w:hAnsi="宋体" w:eastAsia="宋体" w:cs="宋体"/>
                <w:color w:val="000000" w:themeColor="text1"/>
                <w:spacing w:val="-12"/>
                <w:sz w:val="21"/>
                <w:szCs w:val="21"/>
                <w:lang w:val="en-US" w:eastAsia="zh-CN"/>
                <w14:textFill>
                  <w14:solidFill>
                    <w14:schemeClr w14:val="tx1"/>
                  </w14:solidFill>
                </w14:textFill>
              </w:rPr>
              <w:t>8</w:t>
            </w:r>
            <w:r>
              <w:rPr>
                <w:rFonts w:hint="eastAsia" w:ascii="宋体" w:hAnsi="宋体" w:eastAsia="宋体" w:cs="宋体"/>
                <w:color w:val="000000" w:themeColor="text1"/>
                <w:spacing w:val="-12"/>
                <w:sz w:val="21"/>
                <w:szCs w:val="21"/>
                <w14:textFill>
                  <w14:solidFill>
                    <w14:schemeClr w14:val="tx1"/>
                  </w14:solidFill>
                </w14:textFill>
              </w:rPr>
              <w:t>0-3</w:t>
            </w:r>
            <w:r>
              <w:rPr>
                <w:rFonts w:hint="eastAsia" w:ascii="宋体" w:hAnsi="宋体" w:eastAsia="宋体" w:cs="宋体"/>
                <w:color w:val="000000" w:themeColor="text1"/>
                <w:spacing w:val="-12"/>
                <w:sz w:val="21"/>
                <w:szCs w:val="21"/>
                <w:lang w:val="en-US" w:eastAsia="zh-CN"/>
                <w14:textFill>
                  <w14:solidFill>
                    <w14:schemeClr w14:val="tx1"/>
                  </w14:solidFill>
                </w14:textFill>
              </w:rPr>
              <w:t>6</w:t>
            </w:r>
            <w:r>
              <w:rPr>
                <w:rFonts w:hint="eastAsia" w:ascii="宋体" w:hAnsi="宋体" w:eastAsia="宋体" w:cs="宋体"/>
                <w:color w:val="000000" w:themeColor="text1"/>
                <w:spacing w:val="-12"/>
                <w:sz w:val="21"/>
                <w:szCs w:val="21"/>
                <w14:textFill>
                  <w14:solidFill>
                    <w14:schemeClr w14:val="tx1"/>
                  </w14:solidFill>
                </w14:textFill>
              </w:rPr>
              <w:t>0℃</w:t>
            </w:r>
          </w:p>
        </w:tc>
      </w:tr>
      <w:tr w14:paraId="1329E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2DB1D74E">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2225" w:type="dxa"/>
            <w:gridSpan w:val="2"/>
            <w:shd w:val="clear" w:color="auto" w:fill="auto"/>
            <w:vAlign w:val="center"/>
          </w:tcPr>
          <w:p w14:paraId="0E8636E5">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相对密度（水=1）</w:t>
            </w:r>
          </w:p>
        </w:tc>
        <w:tc>
          <w:tcPr>
            <w:tcW w:w="1403" w:type="dxa"/>
            <w:shd w:val="clear" w:color="auto" w:fill="auto"/>
            <w:vAlign w:val="center"/>
          </w:tcPr>
          <w:p w14:paraId="5A8AB6AF">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lang w:eastAsia="zh-CN"/>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0.8</w:t>
            </w:r>
            <w:r>
              <w:rPr>
                <w:rFonts w:hint="eastAsia" w:ascii="宋体" w:hAnsi="宋体" w:eastAsia="宋体" w:cs="宋体"/>
                <w:color w:val="000000" w:themeColor="text1"/>
                <w:spacing w:val="-12"/>
                <w:sz w:val="21"/>
                <w:szCs w:val="21"/>
                <w:lang w:val="en-US" w:eastAsia="zh-CN"/>
                <w14:textFill>
                  <w14:solidFill>
                    <w14:schemeClr w14:val="tx1"/>
                  </w14:solidFill>
                </w14:textFill>
              </w:rPr>
              <w:t>7</w:t>
            </w:r>
            <w:r>
              <w:rPr>
                <w:rFonts w:hint="eastAsia" w:ascii="宋体" w:hAnsi="宋体" w:eastAsia="宋体" w:cs="宋体"/>
                <w:color w:val="000000" w:themeColor="text1"/>
                <w:spacing w:val="-12"/>
                <w:sz w:val="21"/>
                <w:szCs w:val="21"/>
                <w14:textFill>
                  <w14:solidFill>
                    <w14:schemeClr w14:val="tx1"/>
                  </w14:solidFill>
                </w14:textFill>
              </w:rPr>
              <w:t>-0.</w:t>
            </w:r>
            <w:r>
              <w:rPr>
                <w:rFonts w:hint="eastAsia" w:ascii="宋体" w:hAnsi="宋体" w:eastAsia="宋体" w:cs="宋体"/>
                <w:color w:val="000000" w:themeColor="text1"/>
                <w:spacing w:val="-12"/>
                <w:sz w:val="21"/>
                <w:szCs w:val="21"/>
                <w:lang w:val="en-US" w:eastAsia="zh-CN"/>
                <w14:textFill>
                  <w14:solidFill>
                    <w14:schemeClr w14:val="tx1"/>
                  </w14:solidFill>
                </w14:textFill>
              </w:rPr>
              <w:t>9</w:t>
            </w:r>
          </w:p>
        </w:tc>
        <w:tc>
          <w:tcPr>
            <w:tcW w:w="1458" w:type="dxa"/>
            <w:shd w:val="clear" w:color="auto" w:fill="auto"/>
            <w:vAlign w:val="center"/>
          </w:tcPr>
          <w:p w14:paraId="4A7DC35D">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CAS号</w:t>
            </w:r>
          </w:p>
        </w:tc>
        <w:tc>
          <w:tcPr>
            <w:tcW w:w="2628" w:type="dxa"/>
            <w:shd w:val="clear" w:color="auto" w:fill="auto"/>
            <w:vAlign w:val="center"/>
          </w:tcPr>
          <w:p w14:paraId="0FFB87CC">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68334-30-5</w:t>
            </w:r>
          </w:p>
        </w:tc>
      </w:tr>
      <w:tr w14:paraId="5BCA7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11BB7DE5">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7714" w:type="dxa"/>
            <w:gridSpan w:val="5"/>
            <w:shd w:val="clear" w:color="auto" w:fill="auto"/>
            <w:vAlign w:val="center"/>
          </w:tcPr>
          <w:p w14:paraId="2C6BF3A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外观性状：稍有粘性的棕色液体。</w:t>
            </w:r>
          </w:p>
        </w:tc>
      </w:tr>
      <w:tr w14:paraId="0954B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41A1284C">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7714" w:type="dxa"/>
            <w:gridSpan w:val="5"/>
            <w:shd w:val="clear" w:color="auto" w:fill="auto"/>
            <w:vAlign w:val="center"/>
          </w:tcPr>
          <w:p w14:paraId="45CCEFC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溶解性：不溶于水，溶于醇等溶剂。</w:t>
            </w:r>
          </w:p>
        </w:tc>
      </w:tr>
      <w:tr w14:paraId="44CC8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667" w:type="dxa"/>
            <w:shd w:val="clear" w:color="auto" w:fill="auto"/>
            <w:vAlign w:val="center"/>
          </w:tcPr>
          <w:p w14:paraId="3BB21DEB">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稳定</w:t>
            </w:r>
          </w:p>
          <w:p w14:paraId="64DD8544">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性和</w:t>
            </w:r>
          </w:p>
          <w:p w14:paraId="7CE82EBB">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危险</w:t>
            </w:r>
          </w:p>
          <w:p w14:paraId="1922B1BA">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w:t>
            </w:r>
          </w:p>
        </w:tc>
        <w:tc>
          <w:tcPr>
            <w:tcW w:w="7714" w:type="dxa"/>
            <w:gridSpan w:val="5"/>
            <w:shd w:val="clear" w:color="auto" w:fill="auto"/>
            <w:vAlign w:val="center"/>
          </w:tcPr>
          <w:p w14:paraId="3ECE5DC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稳定性：</w:t>
            </w:r>
            <w:r>
              <w:rPr>
                <w:rFonts w:hint="eastAsia" w:ascii="宋体" w:hAnsi="宋体" w:eastAsia="宋体" w:cs="宋体"/>
                <w:color w:val="000000" w:themeColor="text1"/>
                <w:spacing w:val="-12"/>
                <w:sz w:val="21"/>
                <w:szCs w:val="21"/>
                <w:lang w:eastAsia="zh-CN"/>
                <w14:textFill>
                  <w14:solidFill>
                    <w14:schemeClr w14:val="tx1"/>
                  </w14:solidFill>
                </w14:textFill>
              </w:rPr>
              <w:t>化学性质很</w:t>
            </w:r>
            <w:r>
              <w:rPr>
                <w:rFonts w:hint="eastAsia" w:ascii="宋体" w:hAnsi="宋体" w:eastAsia="宋体" w:cs="宋体"/>
                <w:color w:val="000000" w:themeColor="text1"/>
                <w:spacing w:val="-12"/>
                <w:sz w:val="21"/>
                <w:szCs w:val="21"/>
                <w14:textFill>
                  <w14:solidFill>
                    <w14:schemeClr w14:val="tx1"/>
                  </w14:solidFill>
                </w14:textFill>
              </w:rPr>
              <w:t>稳定。</w:t>
            </w:r>
          </w:p>
          <w:p w14:paraId="7FB927B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危险性：遇明火、高热或与氧化剂接触，有引起燃烧爆炸的危险。若遇高热，容器内压增大，有开裂和爆炸的危险。</w:t>
            </w:r>
          </w:p>
          <w:p w14:paraId="61AB37E8">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燃烧产物：一氧化碳、二氧化碳。</w:t>
            </w:r>
          </w:p>
        </w:tc>
      </w:tr>
      <w:tr w14:paraId="3C33D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667" w:type="dxa"/>
            <w:shd w:val="clear" w:color="auto" w:fill="auto"/>
            <w:vAlign w:val="center"/>
          </w:tcPr>
          <w:p w14:paraId="72739B28">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毒理</w:t>
            </w:r>
          </w:p>
          <w:p w14:paraId="30C18CB3">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学资</w:t>
            </w:r>
          </w:p>
          <w:p w14:paraId="07981AD1">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料</w:t>
            </w:r>
          </w:p>
        </w:tc>
        <w:tc>
          <w:tcPr>
            <w:tcW w:w="7714" w:type="dxa"/>
            <w:gridSpan w:val="5"/>
            <w:shd w:val="clear" w:color="auto" w:fill="auto"/>
            <w:vAlign w:val="center"/>
          </w:tcPr>
          <w:p w14:paraId="566A518A">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侵入途径：吸入、食入、皮肤吸收。</w:t>
            </w:r>
          </w:p>
          <w:p w14:paraId="5D5A1A5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健康：皮肤接触可为主要吸收途径，可致急性肾脏损害。柴油可引起接触性皮炎、油性痤疮。吸入其雾滴或液体呛入可引起吸入性肺炎。能经胎盘进入胎儿血中。柴油废气可引起眼、鼻刺激症状，头晕及头痛。</w:t>
            </w:r>
          </w:p>
        </w:tc>
      </w:tr>
      <w:tr w14:paraId="24013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restart"/>
            <w:shd w:val="clear" w:color="auto" w:fill="auto"/>
            <w:vAlign w:val="center"/>
          </w:tcPr>
          <w:p w14:paraId="71067132">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安全</w:t>
            </w:r>
          </w:p>
          <w:p w14:paraId="72509720">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防护</w:t>
            </w:r>
          </w:p>
          <w:p w14:paraId="14E9E80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措施</w:t>
            </w:r>
          </w:p>
        </w:tc>
        <w:tc>
          <w:tcPr>
            <w:tcW w:w="1735" w:type="dxa"/>
            <w:shd w:val="clear" w:color="auto" w:fill="auto"/>
            <w:vAlign w:val="center"/>
          </w:tcPr>
          <w:p w14:paraId="1D7FDEA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呼吸系统防护</w:t>
            </w:r>
          </w:p>
        </w:tc>
        <w:tc>
          <w:tcPr>
            <w:tcW w:w="5979" w:type="dxa"/>
            <w:gridSpan w:val="4"/>
            <w:shd w:val="clear" w:color="auto" w:fill="auto"/>
            <w:vAlign w:val="center"/>
          </w:tcPr>
          <w:p w14:paraId="0DD05D4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空气中浓度超标时，建议佩戴自吸过滤式防毒面具（半面罩）。紧急事态抢救或撤离时，应该佩戴空气呼吸器。</w:t>
            </w:r>
          </w:p>
        </w:tc>
      </w:tr>
      <w:tr w14:paraId="7C97E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754C77D4">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43B70591">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眼睛防护</w:t>
            </w:r>
          </w:p>
        </w:tc>
        <w:tc>
          <w:tcPr>
            <w:tcW w:w="5979" w:type="dxa"/>
            <w:gridSpan w:val="4"/>
            <w:shd w:val="clear" w:color="auto" w:fill="auto"/>
            <w:vAlign w:val="center"/>
          </w:tcPr>
          <w:p w14:paraId="212379FE">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戴化学安全防护眼镜。</w:t>
            </w:r>
          </w:p>
        </w:tc>
      </w:tr>
      <w:tr w14:paraId="26EF7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32E64B0F">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618C8300">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身体防护</w:t>
            </w:r>
          </w:p>
        </w:tc>
        <w:tc>
          <w:tcPr>
            <w:tcW w:w="5979" w:type="dxa"/>
            <w:gridSpan w:val="4"/>
            <w:shd w:val="clear" w:color="auto" w:fill="auto"/>
            <w:vAlign w:val="center"/>
          </w:tcPr>
          <w:p w14:paraId="4DB93CD8">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穿一般作业防护服。</w:t>
            </w:r>
          </w:p>
        </w:tc>
      </w:tr>
      <w:tr w14:paraId="24C5C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0EFEF21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3237015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手防护</w:t>
            </w:r>
          </w:p>
        </w:tc>
        <w:tc>
          <w:tcPr>
            <w:tcW w:w="5979" w:type="dxa"/>
            <w:gridSpan w:val="4"/>
            <w:shd w:val="clear" w:color="auto" w:fill="auto"/>
            <w:vAlign w:val="center"/>
          </w:tcPr>
          <w:p w14:paraId="0E365DF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戴橡胶耐油手套。</w:t>
            </w:r>
          </w:p>
        </w:tc>
      </w:tr>
      <w:tr w14:paraId="0250C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171FE97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6108F9D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其他</w:t>
            </w:r>
          </w:p>
        </w:tc>
        <w:tc>
          <w:tcPr>
            <w:tcW w:w="5979" w:type="dxa"/>
            <w:gridSpan w:val="4"/>
            <w:shd w:val="clear" w:color="auto" w:fill="auto"/>
            <w:vAlign w:val="center"/>
          </w:tcPr>
          <w:p w14:paraId="7AE138C1">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工作现场严禁吸烟。避免长期反复接触。</w:t>
            </w:r>
          </w:p>
        </w:tc>
      </w:tr>
      <w:tr w14:paraId="5B611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restart"/>
            <w:shd w:val="clear" w:color="auto" w:fill="auto"/>
            <w:vAlign w:val="center"/>
          </w:tcPr>
          <w:p w14:paraId="6F3DD261">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应急</w:t>
            </w:r>
          </w:p>
          <w:p w14:paraId="220705D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措施</w:t>
            </w:r>
          </w:p>
        </w:tc>
        <w:tc>
          <w:tcPr>
            <w:tcW w:w="1735" w:type="dxa"/>
            <w:shd w:val="clear" w:color="auto" w:fill="auto"/>
            <w:vAlign w:val="center"/>
          </w:tcPr>
          <w:p w14:paraId="1B984C0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急救措施</w:t>
            </w:r>
          </w:p>
        </w:tc>
        <w:tc>
          <w:tcPr>
            <w:tcW w:w="5979" w:type="dxa"/>
            <w:gridSpan w:val="4"/>
            <w:shd w:val="clear" w:color="auto" w:fill="auto"/>
            <w:vAlign w:val="center"/>
          </w:tcPr>
          <w:p w14:paraId="7DB3FEAF">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皮肤接触：立即脱去污染的衣着，用肥皂水和清水彻底冲洗皮肤。就医；</w:t>
            </w:r>
          </w:p>
          <w:p w14:paraId="1C8B2490">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眼睛接触：提起眼睑，用流动清水或生理盐水冲洗。就医；</w:t>
            </w:r>
          </w:p>
          <w:p w14:paraId="2AEA320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吸入：迅速脱离现场至空气新鲜处。保持呼吸道通畅。如呼吸困难，给输氧。如呼吸停止，立即进行人工呼吸。就医；</w:t>
            </w:r>
          </w:p>
          <w:p w14:paraId="7ED42B7B">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食入：尽快彻底洗胃。就医。</w:t>
            </w:r>
          </w:p>
        </w:tc>
      </w:tr>
      <w:tr w14:paraId="18164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69AA82D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67033EF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泄漏措施</w:t>
            </w:r>
          </w:p>
        </w:tc>
        <w:tc>
          <w:tcPr>
            <w:tcW w:w="5979" w:type="dxa"/>
            <w:gridSpan w:val="4"/>
            <w:shd w:val="clear" w:color="auto" w:fill="auto"/>
            <w:vAlign w:val="center"/>
          </w:tcPr>
          <w:p w14:paraId="08DDCBC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r w14:paraId="3C56D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7DC03A77">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4B2AAD0E">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消防方法</w:t>
            </w:r>
          </w:p>
        </w:tc>
        <w:tc>
          <w:tcPr>
            <w:tcW w:w="5979" w:type="dxa"/>
            <w:gridSpan w:val="4"/>
            <w:shd w:val="clear" w:color="auto" w:fill="auto"/>
            <w:vAlign w:val="center"/>
          </w:tcPr>
          <w:p w14:paraId="044D79E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雾状水、泡沫、干粉、二氧化碳、砂土。</w:t>
            </w:r>
          </w:p>
        </w:tc>
      </w:tr>
    </w:tbl>
    <w:p w14:paraId="79E3AA9B">
      <w:pPr>
        <w:keepNext/>
        <w:keepLines/>
        <w:pageBreakBefore w:val="0"/>
        <w:widowControl w:val="0"/>
        <w:tabs>
          <w:tab w:val="left" w:pos="2924"/>
          <w:tab w:val="center" w:pos="4522"/>
        </w:tabs>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000000" w:themeColor="text1"/>
          <w:lang w:val="zh-CN"/>
          <w14:textFill>
            <w14:solidFill>
              <w14:schemeClr w14:val="tx1"/>
            </w14:solidFill>
          </w14:textFill>
        </w:rPr>
      </w:pPr>
      <w:bookmarkStart w:id="364" w:name="_Toc7772"/>
      <w:bookmarkStart w:id="365" w:name="_Toc17647"/>
      <w:bookmarkStart w:id="366" w:name="_Toc15385_WPSOffice_Level2"/>
      <w:bookmarkStart w:id="367" w:name="_Toc201697582"/>
      <w:r>
        <w:rPr>
          <w:rFonts w:hint="default" w:ascii="Times New Roman" w:hAnsi="Times New Roman" w:cs="Times New Roman"/>
          <w:b/>
          <w:bCs/>
          <w:color w:val="000000" w:themeColor="text1"/>
          <w:lang w:val="zh-CN"/>
          <w14:textFill>
            <w14:solidFill>
              <w14:schemeClr w14:val="tx1"/>
            </w14:solidFill>
          </w14:textFill>
        </w:rPr>
        <w:t>表</w:t>
      </w:r>
      <w:r>
        <w:rPr>
          <w:rFonts w:hint="default" w:ascii="Times New Roman" w:hAnsi="Times New Roman" w:cs="Times New Roman"/>
          <w:b/>
          <w:bCs/>
          <w:color w:val="000000" w:themeColor="text1"/>
          <w14:textFill>
            <w14:solidFill>
              <w14:schemeClr w14:val="tx1"/>
            </w14:solidFill>
          </w14:textFill>
        </w:rPr>
        <w:t>3-</w:t>
      </w:r>
      <w:r>
        <w:rPr>
          <w:rFonts w:hint="default" w:ascii="Times New Roman" w:hAnsi="Times New Roman" w:cs="Times New Roman"/>
          <w:b/>
          <w:bCs/>
          <w:color w:val="000000" w:themeColor="text1"/>
          <w:lang w:val="en-US" w:eastAsia="zh-CN"/>
          <w14:textFill>
            <w14:solidFill>
              <w14:schemeClr w14:val="tx1"/>
            </w14:solidFill>
          </w14:textFill>
        </w:rPr>
        <w:t>2</w:t>
      </w:r>
      <w:r>
        <w:rPr>
          <w:rFonts w:hint="default" w:ascii="Times New Roman" w:hAnsi="Times New Roman" w:cs="Times New Roman"/>
          <w:b/>
          <w:bCs/>
          <w:color w:val="000000" w:themeColor="text1"/>
          <w14:textFill>
            <w14:solidFill>
              <w14:schemeClr w14:val="tx1"/>
            </w14:solidFill>
          </w14:textFill>
        </w:rPr>
        <w:t xml:space="preserve"> </w:t>
      </w:r>
      <w:r>
        <w:rPr>
          <w:rFonts w:hint="default" w:ascii="Times New Roman" w:hAnsi="Times New Roman" w:cs="Times New Roman"/>
          <w:b/>
          <w:bCs/>
          <w:color w:val="000000" w:themeColor="text1"/>
          <w:lang w:eastAsia="zh-CN"/>
          <w14:textFill>
            <w14:solidFill>
              <w14:schemeClr w14:val="tx1"/>
            </w14:solidFill>
          </w14:textFill>
        </w:rPr>
        <w:t>氢氧化钠</w:t>
      </w:r>
      <w:r>
        <w:rPr>
          <w:rFonts w:hint="default" w:ascii="Times New Roman" w:hAnsi="Times New Roman" w:cs="Times New Roman"/>
          <w:b/>
          <w:bCs/>
          <w:color w:val="000000" w:themeColor="text1"/>
          <w:lang w:val="en-US" w:eastAsia="zh-CN"/>
          <w14:textFill>
            <w14:solidFill>
              <w14:schemeClr w14:val="tx1"/>
            </w14:solidFill>
          </w14:textFill>
        </w:rPr>
        <w:t>的</w:t>
      </w:r>
      <w:r>
        <w:rPr>
          <w:rFonts w:hint="default" w:ascii="Times New Roman" w:hAnsi="Times New Roman" w:cs="Times New Roman"/>
          <w:b/>
          <w:bCs/>
          <w:color w:val="000000" w:themeColor="text1"/>
          <w:lang w:val="zh-CN"/>
          <w14:textFill>
            <w14:solidFill>
              <w14:schemeClr w14:val="tx1"/>
            </w14:solidFill>
          </w14:textFill>
        </w:rPr>
        <w:t>理化特性表</w:t>
      </w:r>
    </w:p>
    <w:tbl>
      <w:tblPr>
        <w:tblStyle w:val="51"/>
        <w:tblW w:w="496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4"/>
        <w:gridCol w:w="1456"/>
        <w:gridCol w:w="896"/>
        <w:gridCol w:w="489"/>
        <w:gridCol w:w="317"/>
        <w:gridCol w:w="1166"/>
        <w:gridCol w:w="57"/>
        <w:gridCol w:w="780"/>
        <w:gridCol w:w="1795"/>
        <w:gridCol w:w="348"/>
        <w:gridCol w:w="904"/>
      </w:tblGrid>
      <w:tr w14:paraId="022514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9" w:hRule="atLeast"/>
          <w:jc w:val="center"/>
        </w:trPr>
        <w:tc>
          <w:tcPr>
            <w:tcW w:w="262" w:type="pct"/>
            <w:vMerge w:val="restart"/>
            <w:tcBorders>
              <w:tl2br w:val="nil"/>
              <w:tr2bl w:val="nil"/>
            </w:tcBorders>
            <w:noWrap w:val="0"/>
            <w:vAlign w:val="center"/>
          </w:tcPr>
          <w:p w14:paraId="090CF9E2">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标识</w:t>
            </w:r>
          </w:p>
        </w:tc>
        <w:tc>
          <w:tcPr>
            <w:tcW w:w="2978" w:type="pct"/>
            <w:gridSpan w:val="7"/>
            <w:tcBorders>
              <w:tl2br w:val="nil"/>
              <w:tr2bl w:val="nil"/>
            </w:tcBorders>
            <w:noWrap w:val="0"/>
            <w:vAlign w:val="center"/>
          </w:tcPr>
          <w:p w14:paraId="448F0D9B">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中文名：</w:t>
            </w:r>
            <w:r>
              <w:rPr>
                <w:rFonts w:ascii="Times New Roman" w:hAnsi="Times New Roman" w:eastAsia="宋体" w:cs="Arial"/>
                <w:color w:val="000000" w:themeColor="text1"/>
                <w:sz w:val="21"/>
                <w:szCs w:val="24"/>
                <w14:textFill>
                  <w14:solidFill>
                    <w14:schemeClr w14:val="tx1"/>
                  </w14:solidFill>
                </w14:textFill>
              </w:rPr>
              <w:t>氢氧化钠</w:t>
            </w:r>
            <w:r>
              <w:rPr>
                <w:rFonts w:ascii="Times New Roman" w:hAnsi="Times New Roman" w:eastAsia="宋体" w:cs="Arial"/>
                <w:color w:val="000000" w:themeColor="text1"/>
                <w:spacing w:val="10"/>
                <w:sz w:val="21"/>
                <w:szCs w:val="24"/>
                <w14:textFill>
                  <w14:solidFill>
                    <w14:schemeClr w14:val="tx1"/>
                  </w14:solidFill>
                </w14:textFill>
              </w:rPr>
              <w:t>；</w:t>
            </w:r>
            <w:r>
              <w:rPr>
                <w:rFonts w:ascii="Times New Roman" w:hAnsi="Times New Roman" w:eastAsia="宋体" w:cs="Arial"/>
                <w:color w:val="000000" w:themeColor="text1"/>
                <w:sz w:val="21"/>
                <w:szCs w:val="24"/>
                <w14:textFill>
                  <w14:solidFill>
                    <w14:schemeClr w14:val="tx1"/>
                  </w14:solidFill>
                </w14:textFill>
              </w:rPr>
              <w:t>烧碱</w:t>
            </w:r>
            <w:r>
              <w:rPr>
                <w:rFonts w:hint="eastAsia" w:ascii="宋体" w:hAnsi="宋体" w:eastAsia="宋体" w:cs="Times New Roman"/>
                <w:color w:val="000000" w:themeColor="text1"/>
                <w:sz w:val="21"/>
                <w:szCs w:val="21"/>
                <w14:textFill>
                  <w14:solidFill>
                    <w14:schemeClr w14:val="tx1"/>
                  </w14:solidFill>
                </w14:textFill>
              </w:rPr>
              <w:t>；苛性钠</w:t>
            </w:r>
          </w:p>
        </w:tc>
        <w:tc>
          <w:tcPr>
            <w:tcW w:w="1758" w:type="pct"/>
            <w:gridSpan w:val="3"/>
            <w:tcBorders>
              <w:tl2br w:val="nil"/>
              <w:tr2bl w:val="nil"/>
            </w:tcBorders>
            <w:noWrap w:val="0"/>
            <w:vAlign w:val="center"/>
          </w:tcPr>
          <w:p w14:paraId="08EA9ECB">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危险货物编号：</w:t>
            </w:r>
            <w:r>
              <w:rPr>
                <w:rFonts w:ascii="Times New Roman" w:hAnsi="Times New Roman" w:eastAsia="宋体" w:cs="Arial"/>
                <w:color w:val="000000" w:themeColor="text1"/>
                <w:sz w:val="21"/>
                <w:szCs w:val="24"/>
                <w14:textFill>
                  <w14:solidFill>
                    <w14:schemeClr w14:val="tx1"/>
                  </w14:solidFill>
                </w14:textFill>
              </w:rPr>
              <w:t>82001</w:t>
            </w:r>
          </w:p>
        </w:tc>
      </w:tr>
      <w:tr w14:paraId="0AEF69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262" w:type="pct"/>
            <w:vMerge w:val="continue"/>
            <w:tcBorders>
              <w:tl2br w:val="nil"/>
              <w:tr2bl w:val="nil"/>
            </w:tcBorders>
            <w:noWrap w:val="0"/>
            <w:vAlign w:val="center"/>
          </w:tcPr>
          <w:p w14:paraId="6ECF5811">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2978" w:type="pct"/>
            <w:gridSpan w:val="7"/>
            <w:tcBorders>
              <w:tl2br w:val="nil"/>
              <w:tr2bl w:val="nil"/>
            </w:tcBorders>
            <w:noWrap w:val="0"/>
            <w:vAlign w:val="center"/>
          </w:tcPr>
          <w:p w14:paraId="1C519EF9">
            <w:pPr>
              <w:spacing w:line="240" w:lineRule="auto"/>
              <w:ind w:firstLine="0" w:firstLineChars="0"/>
              <w:rPr>
                <w:rFonts w:ascii="Times New Roman" w:hAnsi="Times New Roman" w:eastAsia="宋体" w:cs="Arial"/>
                <w:color w:val="000000" w:themeColor="text1"/>
                <w:spacing w:val="10"/>
                <w:sz w:val="21"/>
                <w:szCs w:val="21"/>
                <w14:textFill>
                  <w14:solidFill>
                    <w14:schemeClr w14:val="tx1"/>
                  </w14:solidFill>
                </w14:textFill>
              </w:rPr>
            </w:pPr>
            <w:r>
              <w:rPr>
                <w:rFonts w:ascii="Times New Roman" w:hAnsi="Times New Roman" w:eastAsia="宋体" w:cs="Arial"/>
                <w:color w:val="000000" w:themeColor="text1"/>
                <w:spacing w:val="10"/>
                <w:sz w:val="21"/>
                <w:szCs w:val="21"/>
                <w14:textFill>
                  <w14:solidFill>
                    <w14:schemeClr w14:val="tx1"/>
                  </w14:solidFill>
                </w14:textFill>
              </w:rPr>
              <w:t>英文名：</w:t>
            </w:r>
            <w:r>
              <w:rPr>
                <w:rFonts w:ascii="Times New Roman" w:hAnsi="Times New Roman" w:eastAsia="宋体" w:cs="Arial"/>
                <w:color w:val="000000" w:themeColor="text1"/>
                <w:sz w:val="21"/>
                <w:szCs w:val="24"/>
                <w14:textFill>
                  <w14:solidFill>
                    <w14:schemeClr w14:val="tx1"/>
                  </w14:solidFill>
                </w14:textFill>
              </w:rPr>
              <w:t>Sodiun hydroxide；Caustic soda</w:t>
            </w:r>
            <w:r>
              <w:rPr>
                <w:rFonts w:hint="eastAsia" w:ascii="宋体" w:hAnsi="宋体" w:eastAsia="宋体" w:cs="Times New Roman"/>
                <w:color w:val="000000" w:themeColor="text1"/>
                <w:spacing w:val="10"/>
                <w:sz w:val="21"/>
                <w:szCs w:val="21"/>
                <w14:textFill>
                  <w14:solidFill>
                    <w14:schemeClr w14:val="tx1"/>
                  </w14:solidFill>
                </w14:textFill>
              </w:rPr>
              <w:t>；S</w:t>
            </w:r>
            <w:r>
              <w:rPr>
                <w:rFonts w:ascii="宋体" w:hAnsi="宋体" w:eastAsia="宋体" w:cs="Times New Roman"/>
                <w:color w:val="000000" w:themeColor="text1"/>
                <w:spacing w:val="10"/>
                <w:sz w:val="21"/>
                <w:szCs w:val="21"/>
                <w14:textFill>
                  <w14:solidFill>
                    <w14:schemeClr w14:val="tx1"/>
                  </w14:solidFill>
                </w14:textFill>
              </w:rPr>
              <w:t>odiun hydr</w:t>
            </w:r>
            <w:r>
              <w:rPr>
                <w:rFonts w:hint="eastAsia" w:ascii="宋体" w:hAnsi="宋体" w:eastAsia="宋体" w:cs="Times New Roman"/>
                <w:color w:val="000000" w:themeColor="text1"/>
                <w:spacing w:val="10"/>
                <w:sz w:val="21"/>
                <w:szCs w:val="21"/>
                <w14:textFill>
                  <w14:solidFill>
                    <w14:schemeClr w14:val="tx1"/>
                  </w14:solidFill>
                </w14:textFill>
              </w:rPr>
              <w:t>ate</w:t>
            </w:r>
          </w:p>
        </w:tc>
        <w:tc>
          <w:tcPr>
            <w:tcW w:w="1758" w:type="pct"/>
            <w:gridSpan w:val="3"/>
            <w:tcBorders>
              <w:tl2br w:val="nil"/>
              <w:tr2bl w:val="nil"/>
            </w:tcBorders>
            <w:noWrap w:val="0"/>
            <w:vAlign w:val="center"/>
          </w:tcPr>
          <w:p w14:paraId="00262D2B">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UN编号：1823</w:t>
            </w:r>
          </w:p>
        </w:tc>
      </w:tr>
      <w:tr w14:paraId="4903E8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262" w:type="pct"/>
            <w:vMerge w:val="continue"/>
            <w:tcBorders>
              <w:tl2br w:val="nil"/>
              <w:tr2bl w:val="nil"/>
            </w:tcBorders>
            <w:noWrap w:val="0"/>
            <w:vAlign w:val="center"/>
          </w:tcPr>
          <w:p w14:paraId="3F26B355">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1639" w:type="pct"/>
            <w:gridSpan w:val="3"/>
            <w:tcBorders>
              <w:tl2br w:val="nil"/>
              <w:tr2bl w:val="nil"/>
            </w:tcBorders>
            <w:noWrap w:val="0"/>
            <w:vAlign w:val="center"/>
          </w:tcPr>
          <w:p w14:paraId="500B4200">
            <w:pPr>
              <w:spacing w:line="240" w:lineRule="auto"/>
              <w:ind w:left="920" w:hanging="920" w:hangingChars="40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分子式：</w:t>
            </w:r>
            <w:r>
              <w:rPr>
                <w:rFonts w:ascii="Times New Roman" w:hAnsi="Times New Roman" w:eastAsia="宋体" w:cs="Arial"/>
                <w:color w:val="000000" w:themeColor="text1"/>
                <w:sz w:val="21"/>
                <w:szCs w:val="24"/>
                <w14:textFill>
                  <w14:solidFill>
                    <w14:schemeClr w14:val="tx1"/>
                  </w14:solidFill>
                </w14:textFill>
              </w:rPr>
              <w:t>NaOH</w:t>
            </w:r>
          </w:p>
        </w:tc>
        <w:tc>
          <w:tcPr>
            <w:tcW w:w="1339" w:type="pct"/>
            <w:gridSpan w:val="4"/>
            <w:tcBorders>
              <w:tl2br w:val="nil"/>
              <w:tr2bl w:val="nil"/>
            </w:tcBorders>
            <w:noWrap w:val="0"/>
            <w:vAlign w:val="center"/>
          </w:tcPr>
          <w:p w14:paraId="5DC70574">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分子量：</w:t>
            </w:r>
            <w:r>
              <w:rPr>
                <w:rFonts w:ascii="Times New Roman" w:hAnsi="Times New Roman" w:eastAsia="宋体" w:cs="Arial"/>
                <w:color w:val="000000" w:themeColor="text1"/>
                <w:sz w:val="21"/>
                <w:szCs w:val="24"/>
                <w14:textFill>
                  <w14:solidFill>
                    <w14:schemeClr w14:val="tx1"/>
                  </w14:solidFill>
                </w14:textFill>
              </w:rPr>
              <w:t>40.01</w:t>
            </w:r>
          </w:p>
        </w:tc>
        <w:tc>
          <w:tcPr>
            <w:tcW w:w="1758" w:type="pct"/>
            <w:gridSpan w:val="3"/>
            <w:tcBorders>
              <w:tl2br w:val="nil"/>
              <w:tr2bl w:val="nil"/>
            </w:tcBorders>
            <w:noWrap w:val="0"/>
            <w:vAlign w:val="center"/>
          </w:tcPr>
          <w:p w14:paraId="1269BBBE">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CAS号：</w:t>
            </w:r>
            <w:r>
              <w:rPr>
                <w:rFonts w:ascii="Times New Roman" w:hAnsi="Times New Roman" w:eastAsia="宋体" w:cs="Arial"/>
                <w:color w:val="000000" w:themeColor="text1"/>
                <w:sz w:val="21"/>
                <w:szCs w:val="24"/>
                <w14:textFill>
                  <w14:solidFill>
                    <w14:schemeClr w14:val="tx1"/>
                  </w14:solidFill>
                </w14:textFill>
              </w:rPr>
              <w:t>1310-73-2</w:t>
            </w:r>
          </w:p>
        </w:tc>
      </w:tr>
      <w:tr w14:paraId="5B700C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62" w:type="pct"/>
            <w:vMerge w:val="restart"/>
            <w:tcBorders>
              <w:tl2br w:val="nil"/>
              <w:tr2bl w:val="nil"/>
            </w:tcBorders>
            <w:noWrap w:val="0"/>
            <w:vAlign w:val="center"/>
          </w:tcPr>
          <w:p w14:paraId="53D178BB">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理化性质</w:t>
            </w:r>
          </w:p>
        </w:tc>
        <w:tc>
          <w:tcPr>
            <w:tcW w:w="840" w:type="pct"/>
            <w:tcBorders>
              <w:tl2br w:val="nil"/>
              <w:tr2bl w:val="nil"/>
            </w:tcBorders>
            <w:noWrap w:val="0"/>
            <w:vAlign w:val="center"/>
          </w:tcPr>
          <w:p w14:paraId="763E52BD">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外观与性状</w:t>
            </w:r>
          </w:p>
        </w:tc>
        <w:tc>
          <w:tcPr>
            <w:tcW w:w="3896" w:type="pct"/>
            <w:gridSpan w:val="9"/>
            <w:tcBorders>
              <w:tl2br w:val="nil"/>
              <w:tr2bl w:val="nil"/>
            </w:tcBorders>
            <w:noWrap w:val="0"/>
            <w:vAlign w:val="center"/>
          </w:tcPr>
          <w:p w14:paraId="09158ABE">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z w:val="21"/>
                <w:szCs w:val="24"/>
                <w14:textFill>
                  <w14:solidFill>
                    <w14:schemeClr w14:val="tx1"/>
                  </w14:solidFill>
                </w14:textFill>
              </w:rPr>
              <w:t>白色不透明固体，易潮解。</w:t>
            </w:r>
          </w:p>
        </w:tc>
      </w:tr>
      <w:tr w14:paraId="70BF09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262" w:type="pct"/>
            <w:vMerge w:val="continue"/>
            <w:tcBorders>
              <w:tl2br w:val="nil"/>
              <w:tr2bl w:val="nil"/>
            </w:tcBorders>
            <w:noWrap w:val="0"/>
            <w:vAlign w:val="center"/>
          </w:tcPr>
          <w:p w14:paraId="4AA0EB4C">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1134D7AB">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熔点（</w:t>
            </w:r>
            <w:r>
              <w:rPr>
                <w:rFonts w:ascii="宋体" w:hAnsi="宋体" w:eastAsia="宋体" w:cs="Arial"/>
                <w:color w:val="000000" w:themeColor="text1"/>
                <w:spacing w:val="10"/>
                <w:sz w:val="21"/>
                <w:szCs w:val="24"/>
                <w14:textFill>
                  <w14:solidFill>
                    <w14:schemeClr w14:val="tx1"/>
                  </w14:solidFill>
                </w14:textFill>
              </w:rPr>
              <w:t>℃</w:t>
            </w:r>
            <w:r>
              <w:rPr>
                <w:rFonts w:ascii="Times New Roman" w:hAnsi="Times New Roman" w:eastAsia="宋体" w:cs="Arial"/>
                <w:color w:val="000000" w:themeColor="text1"/>
                <w:spacing w:val="10"/>
                <w:sz w:val="21"/>
                <w:szCs w:val="24"/>
                <w14:textFill>
                  <w14:solidFill>
                    <w14:schemeClr w14:val="tx1"/>
                  </w14:solidFill>
                </w14:textFill>
              </w:rPr>
              <w:t>）</w:t>
            </w:r>
          </w:p>
        </w:tc>
        <w:tc>
          <w:tcPr>
            <w:tcW w:w="517" w:type="pct"/>
            <w:tcBorders>
              <w:tl2br w:val="nil"/>
              <w:tr2bl w:val="nil"/>
            </w:tcBorders>
            <w:noWrap w:val="0"/>
            <w:vAlign w:val="center"/>
          </w:tcPr>
          <w:p w14:paraId="4C81F517">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z w:val="21"/>
                <w:szCs w:val="24"/>
                <w14:textFill>
                  <w14:solidFill>
                    <w14:schemeClr w14:val="tx1"/>
                  </w14:solidFill>
                </w14:textFill>
              </w:rPr>
              <w:t>318.4</w:t>
            </w:r>
          </w:p>
        </w:tc>
        <w:tc>
          <w:tcPr>
            <w:tcW w:w="1171" w:type="pct"/>
            <w:gridSpan w:val="4"/>
            <w:tcBorders>
              <w:tl2br w:val="nil"/>
              <w:tr2bl w:val="nil"/>
            </w:tcBorders>
            <w:noWrap w:val="0"/>
            <w:vAlign w:val="center"/>
          </w:tcPr>
          <w:p w14:paraId="13BC4A35">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相对密度</w:t>
            </w:r>
            <w:r>
              <w:rPr>
                <w:rFonts w:hint="eastAsia" w:cs="Arial"/>
                <w:color w:val="000000" w:themeColor="text1"/>
                <w:spacing w:val="10"/>
                <w:sz w:val="21"/>
                <w:szCs w:val="24"/>
                <w:lang w:eastAsia="zh-CN"/>
                <w14:textFill>
                  <w14:solidFill>
                    <w14:schemeClr w14:val="tx1"/>
                  </w14:solidFill>
                </w14:textFill>
              </w:rPr>
              <w:t>（</w:t>
            </w:r>
            <w:r>
              <w:rPr>
                <w:rFonts w:ascii="Times New Roman" w:hAnsi="Times New Roman" w:eastAsia="宋体" w:cs="Arial"/>
                <w:color w:val="000000" w:themeColor="text1"/>
                <w:spacing w:val="10"/>
                <w:sz w:val="21"/>
                <w:szCs w:val="24"/>
                <w14:textFill>
                  <w14:solidFill>
                    <w14:schemeClr w14:val="tx1"/>
                  </w14:solidFill>
                </w14:textFill>
              </w:rPr>
              <w:t>水=1</w:t>
            </w:r>
            <w:r>
              <w:rPr>
                <w:rFonts w:hint="eastAsia" w:cs="Arial"/>
                <w:color w:val="000000" w:themeColor="text1"/>
                <w:spacing w:val="10"/>
                <w:sz w:val="21"/>
                <w:szCs w:val="24"/>
                <w:lang w:eastAsia="zh-CN"/>
                <w14:textFill>
                  <w14:solidFill>
                    <w14:schemeClr w14:val="tx1"/>
                  </w14:solidFill>
                </w14:textFill>
              </w:rPr>
              <w:t>）</w:t>
            </w:r>
          </w:p>
        </w:tc>
        <w:tc>
          <w:tcPr>
            <w:tcW w:w="449" w:type="pct"/>
            <w:tcBorders>
              <w:tl2br w:val="nil"/>
              <w:tr2bl w:val="nil"/>
            </w:tcBorders>
            <w:noWrap w:val="0"/>
            <w:vAlign w:val="center"/>
          </w:tcPr>
          <w:p w14:paraId="1FC756FC">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z w:val="21"/>
                <w:szCs w:val="24"/>
                <w14:textFill>
                  <w14:solidFill>
                    <w14:schemeClr w14:val="tx1"/>
                  </w14:solidFill>
                </w14:textFill>
              </w:rPr>
              <w:t>2.12</w:t>
            </w:r>
          </w:p>
        </w:tc>
        <w:tc>
          <w:tcPr>
            <w:tcW w:w="1237" w:type="pct"/>
            <w:gridSpan w:val="2"/>
            <w:tcBorders>
              <w:tl2br w:val="nil"/>
              <w:tr2bl w:val="nil"/>
            </w:tcBorders>
            <w:noWrap w:val="0"/>
            <w:vAlign w:val="center"/>
          </w:tcPr>
          <w:p w14:paraId="45DD38FC">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相对密度</w:t>
            </w:r>
            <w:r>
              <w:rPr>
                <w:rFonts w:hint="eastAsia" w:cs="Arial"/>
                <w:color w:val="000000" w:themeColor="text1"/>
                <w:spacing w:val="10"/>
                <w:sz w:val="21"/>
                <w:szCs w:val="24"/>
                <w:lang w:eastAsia="zh-CN"/>
                <w14:textFill>
                  <w14:solidFill>
                    <w14:schemeClr w14:val="tx1"/>
                  </w14:solidFill>
                </w14:textFill>
              </w:rPr>
              <w:t>（</w:t>
            </w:r>
            <w:r>
              <w:rPr>
                <w:rFonts w:ascii="Times New Roman" w:hAnsi="Times New Roman" w:eastAsia="宋体" w:cs="Arial"/>
                <w:color w:val="000000" w:themeColor="text1"/>
                <w:spacing w:val="10"/>
                <w:sz w:val="21"/>
                <w:szCs w:val="24"/>
                <w14:textFill>
                  <w14:solidFill>
                    <w14:schemeClr w14:val="tx1"/>
                  </w14:solidFill>
                </w14:textFill>
              </w:rPr>
              <w:t>空气=1</w:t>
            </w:r>
            <w:r>
              <w:rPr>
                <w:rFonts w:hint="eastAsia" w:cs="Arial"/>
                <w:color w:val="000000" w:themeColor="text1"/>
                <w:spacing w:val="10"/>
                <w:sz w:val="21"/>
                <w:szCs w:val="24"/>
                <w:lang w:eastAsia="zh-CN"/>
                <w14:textFill>
                  <w14:solidFill>
                    <w14:schemeClr w14:val="tx1"/>
                  </w14:solidFill>
                </w14:textFill>
              </w:rPr>
              <w:t>）</w:t>
            </w:r>
          </w:p>
        </w:tc>
        <w:tc>
          <w:tcPr>
            <w:tcW w:w="521" w:type="pct"/>
            <w:tcBorders>
              <w:tl2br w:val="nil"/>
              <w:tr2bl w:val="nil"/>
            </w:tcBorders>
            <w:noWrap w:val="0"/>
            <w:vAlign w:val="center"/>
          </w:tcPr>
          <w:p w14:paraId="18431578">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w:t>
            </w:r>
          </w:p>
        </w:tc>
      </w:tr>
      <w:tr w14:paraId="0929EF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262" w:type="pct"/>
            <w:vMerge w:val="continue"/>
            <w:tcBorders>
              <w:tl2br w:val="nil"/>
              <w:tr2bl w:val="nil"/>
            </w:tcBorders>
            <w:noWrap w:val="0"/>
            <w:vAlign w:val="center"/>
          </w:tcPr>
          <w:p w14:paraId="245AB145">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61617039">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沸点（</w:t>
            </w:r>
            <w:r>
              <w:rPr>
                <w:rFonts w:ascii="宋体" w:hAnsi="宋体" w:eastAsia="宋体" w:cs="Arial"/>
                <w:color w:val="000000" w:themeColor="text1"/>
                <w:spacing w:val="10"/>
                <w:sz w:val="21"/>
                <w:szCs w:val="24"/>
                <w14:textFill>
                  <w14:solidFill>
                    <w14:schemeClr w14:val="tx1"/>
                  </w14:solidFill>
                </w14:textFill>
              </w:rPr>
              <w:t>℃</w:t>
            </w:r>
            <w:r>
              <w:rPr>
                <w:rFonts w:ascii="Times New Roman" w:hAnsi="Times New Roman" w:eastAsia="宋体" w:cs="Arial"/>
                <w:color w:val="000000" w:themeColor="text1"/>
                <w:spacing w:val="10"/>
                <w:sz w:val="21"/>
                <w:szCs w:val="24"/>
                <w14:textFill>
                  <w14:solidFill>
                    <w14:schemeClr w14:val="tx1"/>
                  </w14:solidFill>
                </w14:textFill>
              </w:rPr>
              <w:t>）</w:t>
            </w:r>
          </w:p>
        </w:tc>
        <w:tc>
          <w:tcPr>
            <w:tcW w:w="517" w:type="pct"/>
            <w:tcBorders>
              <w:tl2br w:val="nil"/>
              <w:tr2bl w:val="nil"/>
            </w:tcBorders>
            <w:noWrap w:val="0"/>
            <w:vAlign w:val="center"/>
          </w:tcPr>
          <w:p w14:paraId="77BE78BF">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1390</w:t>
            </w:r>
          </w:p>
        </w:tc>
        <w:tc>
          <w:tcPr>
            <w:tcW w:w="1620" w:type="pct"/>
            <w:gridSpan w:val="5"/>
            <w:tcBorders>
              <w:tl2br w:val="nil"/>
              <w:tr2bl w:val="nil"/>
            </w:tcBorders>
            <w:noWrap w:val="0"/>
            <w:vAlign w:val="center"/>
          </w:tcPr>
          <w:p w14:paraId="3F5F32C7">
            <w:pPr>
              <w:spacing w:line="240" w:lineRule="auto"/>
              <w:ind w:left="-40"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hint="eastAsia" w:cs="Arial"/>
                <w:color w:val="000000" w:themeColor="text1"/>
                <w:spacing w:val="10"/>
                <w:sz w:val="21"/>
                <w:szCs w:val="24"/>
                <w:lang w:eastAsia="zh-CN"/>
                <w14:textFill>
                  <w14:solidFill>
                    <w14:schemeClr w14:val="tx1"/>
                  </w14:solidFill>
                </w14:textFill>
              </w:rPr>
              <w:t>饱和蒸汽</w:t>
            </w:r>
            <w:r>
              <w:rPr>
                <w:rFonts w:ascii="Times New Roman" w:hAnsi="Times New Roman" w:eastAsia="宋体" w:cs="Arial"/>
                <w:color w:val="000000" w:themeColor="text1"/>
                <w:spacing w:val="10"/>
                <w:sz w:val="21"/>
                <w:szCs w:val="24"/>
                <w14:textFill>
                  <w14:solidFill>
                    <w14:schemeClr w14:val="tx1"/>
                  </w14:solidFill>
                </w14:textFill>
              </w:rPr>
              <w:t>压（kPa）</w:t>
            </w:r>
          </w:p>
        </w:tc>
        <w:tc>
          <w:tcPr>
            <w:tcW w:w="1758" w:type="pct"/>
            <w:gridSpan w:val="3"/>
            <w:tcBorders>
              <w:tl2br w:val="nil"/>
              <w:tr2bl w:val="nil"/>
            </w:tcBorders>
            <w:noWrap w:val="0"/>
            <w:vAlign w:val="center"/>
          </w:tcPr>
          <w:p w14:paraId="0C432F42">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0.13/739</w:t>
            </w:r>
            <w:r>
              <w:rPr>
                <w:rFonts w:ascii="宋体" w:hAnsi="宋体" w:eastAsia="宋体" w:cs="Arial"/>
                <w:color w:val="000000" w:themeColor="text1"/>
                <w:spacing w:val="10"/>
                <w:sz w:val="21"/>
                <w:szCs w:val="24"/>
                <w14:textFill>
                  <w14:solidFill>
                    <w14:schemeClr w14:val="tx1"/>
                  </w14:solidFill>
                </w14:textFill>
              </w:rPr>
              <w:t>℃</w:t>
            </w:r>
          </w:p>
        </w:tc>
      </w:tr>
      <w:tr w14:paraId="4E5B10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262" w:type="pct"/>
            <w:vMerge w:val="continue"/>
            <w:tcBorders>
              <w:tl2br w:val="nil"/>
              <w:tr2bl w:val="nil"/>
            </w:tcBorders>
            <w:noWrap w:val="0"/>
            <w:vAlign w:val="center"/>
          </w:tcPr>
          <w:p w14:paraId="2332DCC1">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6B772275">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溶解性</w:t>
            </w:r>
          </w:p>
        </w:tc>
        <w:tc>
          <w:tcPr>
            <w:tcW w:w="3896" w:type="pct"/>
            <w:gridSpan w:val="9"/>
            <w:tcBorders>
              <w:tl2br w:val="nil"/>
              <w:tr2bl w:val="nil"/>
            </w:tcBorders>
            <w:noWrap w:val="0"/>
            <w:vAlign w:val="center"/>
          </w:tcPr>
          <w:p w14:paraId="682A5C10">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z w:val="21"/>
                <w:szCs w:val="24"/>
                <w14:textFill>
                  <w14:solidFill>
                    <w14:schemeClr w14:val="tx1"/>
                  </w14:solidFill>
                </w14:textFill>
              </w:rPr>
              <w:t>易溶于水、乙醇、甘油，不溶于丙酮。</w:t>
            </w:r>
          </w:p>
        </w:tc>
      </w:tr>
      <w:tr w14:paraId="65362E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262" w:type="pct"/>
            <w:vMerge w:val="restart"/>
            <w:tcBorders>
              <w:tl2br w:val="nil"/>
              <w:tr2bl w:val="nil"/>
            </w:tcBorders>
            <w:noWrap w:val="0"/>
            <w:vAlign w:val="center"/>
          </w:tcPr>
          <w:p w14:paraId="5F8FAFF6">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毒性及健康危害</w:t>
            </w:r>
          </w:p>
        </w:tc>
        <w:tc>
          <w:tcPr>
            <w:tcW w:w="840" w:type="pct"/>
            <w:tcBorders>
              <w:tl2br w:val="nil"/>
              <w:tr2bl w:val="nil"/>
            </w:tcBorders>
            <w:noWrap w:val="0"/>
            <w:vAlign w:val="center"/>
          </w:tcPr>
          <w:p w14:paraId="2055BE1F">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侵入途径</w:t>
            </w:r>
          </w:p>
        </w:tc>
        <w:tc>
          <w:tcPr>
            <w:tcW w:w="3896" w:type="pct"/>
            <w:gridSpan w:val="9"/>
            <w:tcBorders>
              <w:tl2br w:val="nil"/>
              <w:tr2bl w:val="nil"/>
            </w:tcBorders>
            <w:noWrap w:val="0"/>
            <w:vAlign w:val="center"/>
          </w:tcPr>
          <w:p w14:paraId="56ED802B">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吸入、食入</w:t>
            </w:r>
            <w:r>
              <w:rPr>
                <w:rFonts w:hint="eastAsia" w:ascii="宋体" w:hAnsi="宋体" w:eastAsia="宋体" w:cs="Times New Roman"/>
                <w:color w:val="000000" w:themeColor="text1"/>
                <w:spacing w:val="10"/>
                <w:sz w:val="21"/>
                <w:szCs w:val="21"/>
                <w14:textFill>
                  <w14:solidFill>
                    <w14:schemeClr w14:val="tx1"/>
                  </w14:solidFill>
                </w14:textFill>
              </w:rPr>
              <w:t>、经皮吸收</w:t>
            </w:r>
            <w:r>
              <w:rPr>
                <w:rFonts w:ascii="Times New Roman" w:hAnsi="Times New Roman" w:eastAsia="宋体" w:cs="Arial"/>
                <w:color w:val="000000" w:themeColor="text1"/>
                <w:spacing w:val="10"/>
                <w:sz w:val="21"/>
                <w:szCs w:val="24"/>
                <w14:textFill>
                  <w14:solidFill>
                    <w14:schemeClr w14:val="tx1"/>
                  </w14:solidFill>
                </w14:textFill>
              </w:rPr>
              <w:t>。</w:t>
            </w:r>
          </w:p>
        </w:tc>
      </w:tr>
      <w:tr w14:paraId="263ECD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262" w:type="pct"/>
            <w:vMerge w:val="continue"/>
            <w:tcBorders>
              <w:tl2br w:val="nil"/>
              <w:tr2bl w:val="nil"/>
            </w:tcBorders>
            <w:noWrap w:val="0"/>
            <w:vAlign w:val="center"/>
          </w:tcPr>
          <w:p w14:paraId="05630AE3">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2248B1D6">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毒性</w:t>
            </w:r>
          </w:p>
        </w:tc>
        <w:tc>
          <w:tcPr>
            <w:tcW w:w="3896" w:type="pct"/>
            <w:gridSpan w:val="9"/>
            <w:tcBorders>
              <w:tl2br w:val="nil"/>
              <w:tr2bl w:val="nil"/>
            </w:tcBorders>
            <w:noWrap w:val="0"/>
            <w:vAlign w:val="center"/>
          </w:tcPr>
          <w:p w14:paraId="3B239D37">
            <w:pPr>
              <w:spacing w:line="240" w:lineRule="auto"/>
              <w:ind w:firstLine="0" w:firstLineChars="0"/>
              <w:rPr>
                <w:rFonts w:hint="eastAsia" w:ascii="Times New Roman" w:hAnsi="Times New Roman" w:eastAsia="宋体" w:cs="Arial"/>
                <w:color w:val="000000" w:themeColor="text1"/>
                <w:sz w:val="21"/>
                <w:szCs w:val="24"/>
                <w:lang w:eastAsia="zh-CN"/>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 xml:space="preserve"> LD</w:t>
            </w:r>
            <w:r>
              <w:rPr>
                <w:rFonts w:ascii="Times New Roman" w:hAnsi="Times New Roman" w:eastAsia="宋体" w:cs="Arial"/>
                <w:color w:val="000000" w:themeColor="text1"/>
                <w:spacing w:val="10"/>
                <w:sz w:val="21"/>
                <w:szCs w:val="24"/>
                <w:vertAlign w:val="subscript"/>
                <w14:textFill>
                  <w14:solidFill>
                    <w14:schemeClr w14:val="tx1"/>
                  </w14:solidFill>
                </w14:textFill>
              </w:rPr>
              <w:t>50</w:t>
            </w:r>
            <w:r>
              <w:rPr>
                <w:rFonts w:ascii="Times New Roman" w:hAnsi="Times New Roman" w:eastAsia="宋体" w:cs="Arial"/>
                <w:color w:val="000000" w:themeColor="text1"/>
                <w:spacing w:val="10"/>
                <w:sz w:val="21"/>
                <w:szCs w:val="24"/>
                <w14:textFill>
                  <w14:solidFill>
                    <w14:schemeClr w14:val="tx1"/>
                  </w14:solidFill>
                </w14:textFill>
              </w:rPr>
              <w:t>：</w:t>
            </w:r>
          </w:p>
          <w:p w14:paraId="25CDC181">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 xml:space="preserve"> LC</w:t>
            </w:r>
            <w:r>
              <w:rPr>
                <w:rFonts w:ascii="Times New Roman" w:hAnsi="Times New Roman" w:eastAsia="宋体" w:cs="Arial"/>
                <w:color w:val="000000" w:themeColor="text1"/>
                <w:spacing w:val="10"/>
                <w:sz w:val="21"/>
                <w:szCs w:val="24"/>
                <w:vertAlign w:val="subscript"/>
                <w14:textFill>
                  <w14:solidFill>
                    <w14:schemeClr w14:val="tx1"/>
                  </w14:solidFill>
                </w14:textFill>
              </w:rPr>
              <w:t>50</w:t>
            </w:r>
            <w:r>
              <w:rPr>
                <w:rFonts w:ascii="Times New Roman" w:hAnsi="Times New Roman" w:eastAsia="宋体" w:cs="Arial"/>
                <w:color w:val="000000" w:themeColor="text1"/>
                <w:spacing w:val="10"/>
                <w:sz w:val="21"/>
                <w:szCs w:val="24"/>
                <w14:textFill>
                  <w14:solidFill>
                    <w14:schemeClr w14:val="tx1"/>
                  </w14:solidFill>
                </w14:textFill>
              </w:rPr>
              <w:t>：</w:t>
            </w:r>
          </w:p>
        </w:tc>
      </w:tr>
      <w:tr w14:paraId="2008D2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29" w:hRule="atLeast"/>
          <w:jc w:val="center"/>
        </w:trPr>
        <w:tc>
          <w:tcPr>
            <w:tcW w:w="262" w:type="pct"/>
            <w:vMerge w:val="continue"/>
            <w:tcBorders>
              <w:tl2br w:val="nil"/>
              <w:tr2bl w:val="nil"/>
            </w:tcBorders>
            <w:noWrap w:val="0"/>
            <w:vAlign w:val="center"/>
          </w:tcPr>
          <w:p w14:paraId="030F7D56">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3AF46479">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健康危害</w:t>
            </w:r>
          </w:p>
        </w:tc>
        <w:tc>
          <w:tcPr>
            <w:tcW w:w="3896" w:type="pct"/>
            <w:gridSpan w:val="9"/>
            <w:tcBorders>
              <w:tl2br w:val="nil"/>
              <w:tr2bl w:val="nil"/>
            </w:tcBorders>
            <w:noWrap w:val="0"/>
            <w:vAlign w:val="center"/>
          </w:tcPr>
          <w:p w14:paraId="722C1239">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z w:val="21"/>
                <w:szCs w:val="24"/>
                <w14:textFill>
                  <w14:solidFill>
                    <w14:schemeClr w14:val="tx1"/>
                  </w14:solidFill>
                </w14:textFill>
              </w:rPr>
              <w:t>本品有强烈刺激和腐蚀性。粉尘或烟雾刺激眼和呼吸道，腐蚀鼻中隔；皮肤和眼直接接触可引起灼伤；误服可造成消化道灼伤，</w:t>
            </w:r>
            <w:r>
              <w:rPr>
                <w:rFonts w:hint="eastAsia" w:cs="Arial"/>
                <w:color w:val="000000" w:themeColor="text1"/>
                <w:sz w:val="21"/>
                <w:szCs w:val="24"/>
                <w:lang w:eastAsia="zh-CN"/>
                <w14:textFill>
                  <w14:solidFill>
                    <w14:schemeClr w14:val="tx1"/>
                  </w14:solidFill>
                </w14:textFill>
              </w:rPr>
              <w:t>黏膜</w:t>
            </w:r>
            <w:r>
              <w:rPr>
                <w:rFonts w:ascii="Times New Roman" w:hAnsi="Times New Roman" w:eastAsia="宋体" w:cs="Arial"/>
                <w:color w:val="000000" w:themeColor="text1"/>
                <w:sz w:val="21"/>
                <w:szCs w:val="24"/>
                <w14:textFill>
                  <w14:solidFill>
                    <w14:schemeClr w14:val="tx1"/>
                  </w14:solidFill>
                </w14:textFill>
              </w:rPr>
              <w:t>糜烂、出血和休克。</w:t>
            </w:r>
          </w:p>
        </w:tc>
      </w:tr>
      <w:tr w14:paraId="57D18F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262" w:type="pct"/>
            <w:vMerge w:val="continue"/>
            <w:tcBorders>
              <w:tl2br w:val="nil"/>
              <w:tr2bl w:val="nil"/>
            </w:tcBorders>
            <w:noWrap w:val="0"/>
            <w:vAlign w:val="center"/>
          </w:tcPr>
          <w:p w14:paraId="0B4A3B44">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1450A0E0">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急救方法</w:t>
            </w:r>
          </w:p>
        </w:tc>
        <w:tc>
          <w:tcPr>
            <w:tcW w:w="3896" w:type="pct"/>
            <w:gridSpan w:val="9"/>
            <w:tcBorders>
              <w:tl2br w:val="nil"/>
              <w:tr2bl w:val="nil"/>
            </w:tcBorders>
            <w:noWrap w:val="0"/>
            <w:vAlign w:val="center"/>
          </w:tcPr>
          <w:p w14:paraId="6B574A83">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z w:val="21"/>
                <w:szCs w:val="24"/>
                <w14:textFill>
                  <w14:solidFill>
                    <w14:schemeClr w14:val="tx1"/>
                  </w14:solidFill>
                </w14:textFill>
              </w:rPr>
              <w:t>皮肤接触：立即用水冲洗至少15分钟。若有灼伤，就医治疗。眼睛接触：立即提起眼睑，用流动清水或生理盐水冲洗至少15分钟。或用3%硼酸溶液冲洗。就医。吸入：迅速脱离现场至空气新鲜处。必要时进行人工呼吸。就医。食入：患者清醒时立即漱口，口服稀释的醋或柠檬汁，就医</w:t>
            </w:r>
          </w:p>
        </w:tc>
      </w:tr>
      <w:tr w14:paraId="69DE76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62" w:type="pct"/>
            <w:vMerge w:val="restart"/>
            <w:tcBorders>
              <w:tl2br w:val="nil"/>
              <w:tr2bl w:val="nil"/>
            </w:tcBorders>
            <w:noWrap w:val="0"/>
            <w:vAlign w:val="center"/>
          </w:tcPr>
          <w:p w14:paraId="105E4789">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燃烧爆炸危险性</w:t>
            </w:r>
          </w:p>
        </w:tc>
        <w:tc>
          <w:tcPr>
            <w:tcW w:w="840" w:type="pct"/>
            <w:tcBorders>
              <w:tl2br w:val="nil"/>
              <w:tr2bl w:val="nil"/>
            </w:tcBorders>
            <w:noWrap w:val="0"/>
            <w:vAlign w:val="center"/>
          </w:tcPr>
          <w:p w14:paraId="706752DA">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燃烧性</w:t>
            </w:r>
          </w:p>
        </w:tc>
        <w:tc>
          <w:tcPr>
            <w:tcW w:w="982" w:type="pct"/>
            <w:gridSpan w:val="3"/>
            <w:tcBorders>
              <w:tl2br w:val="nil"/>
              <w:tr2bl w:val="nil"/>
            </w:tcBorders>
            <w:noWrap w:val="0"/>
            <w:vAlign w:val="center"/>
          </w:tcPr>
          <w:p w14:paraId="32356FAB">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不燃</w:t>
            </w:r>
          </w:p>
        </w:tc>
        <w:tc>
          <w:tcPr>
            <w:tcW w:w="1155" w:type="pct"/>
            <w:gridSpan w:val="3"/>
            <w:tcBorders>
              <w:tl2br w:val="nil"/>
              <w:tr2bl w:val="nil"/>
            </w:tcBorders>
            <w:noWrap w:val="0"/>
            <w:vAlign w:val="center"/>
          </w:tcPr>
          <w:p w14:paraId="273AE8F6">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燃烧分解物</w:t>
            </w:r>
          </w:p>
        </w:tc>
        <w:tc>
          <w:tcPr>
            <w:tcW w:w="1758" w:type="pct"/>
            <w:gridSpan w:val="3"/>
            <w:tcBorders>
              <w:tl2br w:val="nil"/>
              <w:tr2bl w:val="nil"/>
            </w:tcBorders>
            <w:noWrap w:val="0"/>
            <w:vAlign w:val="center"/>
          </w:tcPr>
          <w:p w14:paraId="04010ADF">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z w:val="21"/>
                <w:szCs w:val="24"/>
                <w14:textFill>
                  <w14:solidFill>
                    <w14:schemeClr w14:val="tx1"/>
                  </w14:solidFill>
                </w14:textFill>
              </w:rPr>
              <w:t>可能产生有害的毒性烟雾。</w:t>
            </w:r>
          </w:p>
        </w:tc>
      </w:tr>
      <w:tr w14:paraId="7DF72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262" w:type="pct"/>
            <w:vMerge w:val="continue"/>
            <w:tcBorders>
              <w:tl2br w:val="nil"/>
              <w:tr2bl w:val="nil"/>
            </w:tcBorders>
            <w:noWrap w:val="0"/>
            <w:vAlign w:val="center"/>
          </w:tcPr>
          <w:p w14:paraId="1B9D1B2A">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3E91FF40">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闪点</w:t>
            </w:r>
            <w:r>
              <w:rPr>
                <w:rFonts w:hint="eastAsia" w:cs="Arial"/>
                <w:color w:val="000000" w:themeColor="text1"/>
                <w:spacing w:val="10"/>
                <w:sz w:val="21"/>
                <w:szCs w:val="24"/>
                <w:lang w:eastAsia="zh-CN"/>
                <w14:textFill>
                  <w14:solidFill>
                    <w14:schemeClr w14:val="tx1"/>
                  </w14:solidFill>
                </w14:textFill>
              </w:rPr>
              <w:t>(</w:t>
            </w:r>
            <w:r>
              <w:rPr>
                <w:rFonts w:ascii="宋体" w:hAnsi="宋体" w:eastAsia="宋体" w:cs="Arial"/>
                <w:color w:val="000000" w:themeColor="text1"/>
                <w:spacing w:val="10"/>
                <w:sz w:val="21"/>
                <w:szCs w:val="24"/>
                <w14:textFill>
                  <w14:solidFill>
                    <w14:schemeClr w14:val="tx1"/>
                  </w14:solidFill>
                </w14:textFill>
              </w:rPr>
              <w:t>℃</w:t>
            </w:r>
            <w:r>
              <w:rPr>
                <w:rFonts w:ascii="Times New Roman" w:hAnsi="Times New Roman" w:eastAsia="宋体" w:cs="Arial"/>
                <w:color w:val="000000" w:themeColor="text1"/>
                <w:spacing w:val="10"/>
                <w:sz w:val="21"/>
                <w:szCs w:val="24"/>
                <w14:textFill>
                  <w14:solidFill>
                    <w14:schemeClr w14:val="tx1"/>
                  </w14:solidFill>
                </w14:textFill>
              </w:rPr>
              <w:t>)</w:t>
            </w:r>
          </w:p>
        </w:tc>
        <w:tc>
          <w:tcPr>
            <w:tcW w:w="982" w:type="pct"/>
            <w:gridSpan w:val="3"/>
            <w:tcBorders>
              <w:tl2br w:val="nil"/>
              <w:tr2bl w:val="nil"/>
            </w:tcBorders>
            <w:noWrap w:val="0"/>
            <w:vAlign w:val="center"/>
          </w:tcPr>
          <w:p w14:paraId="6788016B">
            <w:pPr>
              <w:spacing w:line="240" w:lineRule="auto"/>
              <w:ind w:firstLine="0" w:firstLineChars="0"/>
              <w:jc w:val="center"/>
              <w:rPr>
                <w:rFonts w:ascii="Times New Roman" w:hAnsi="Times New Roman" w:eastAsia="宋体" w:cs="Arial"/>
                <w:color w:val="000000" w:themeColor="text1"/>
                <w:spacing w:val="10"/>
                <w:sz w:val="21"/>
                <w:szCs w:val="21"/>
                <w14:textFill>
                  <w14:solidFill>
                    <w14:schemeClr w14:val="tx1"/>
                  </w14:solidFill>
                </w14:textFill>
              </w:rPr>
            </w:pPr>
            <w:r>
              <w:rPr>
                <w:rFonts w:ascii="Times New Roman" w:hAnsi="Times New Roman" w:eastAsia="宋体" w:cs="Arial"/>
                <w:color w:val="000000" w:themeColor="text1"/>
                <w:spacing w:val="10"/>
                <w:sz w:val="21"/>
                <w:szCs w:val="21"/>
                <w14:textFill>
                  <w14:solidFill>
                    <w14:schemeClr w14:val="tx1"/>
                  </w14:solidFill>
                </w14:textFill>
              </w:rPr>
              <w:t>/</w:t>
            </w:r>
          </w:p>
        </w:tc>
        <w:tc>
          <w:tcPr>
            <w:tcW w:w="1155" w:type="pct"/>
            <w:gridSpan w:val="3"/>
            <w:tcBorders>
              <w:tl2br w:val="nil"/>
              <w:tr2bl w:val="nil"/>
            </w:tcBorders>
            <w:noWrap w:val="0"/>
            <w:vAlign w:val="center"/>
          </w:tcPr>
          <w:p w14:paraId="5EA8A923">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爆炸上限（v%）</w:t>
            </w:r>
          </w:p>
        </w:tc>
        <w:tc>
          <w:tcPr>
            <w:tcW w:w="1758" w:type="pct"/>
            <w:gridSpan w:val="3"/>
            <w:tcBorders>
              <w:tl2br w:val="nil"/>
              <w:tr2bl w:val="nil"/>
            </w:tcBorders>
            <w:noWrap w:val="0"/>
            <w:vAlign w:val="center"/>
          </w:tcPr>
          <w:p w14:paraId="4860FA11">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w:t>
            </w:r>
          </w:p>
        </w:tc>
      </w:tr>
      <w:tr w14:paraId="0331EE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262" w:type="pct"/>
            <w:vMerge w:val="continue"/>
            <w:tcBorders>
              <w:tl2br w:val="nil"/>
              <w:tr2bl w:val="nil"/>
            </w:tcBorders>
            <w:noWrap w:val="0"/>
            <w:vAlign w:val="center"/>
          </w:tcPr>
          <w:p w14:paraId="07ABC740">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39A03ED5">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引燃温度</w:t>
            </w:r>
            <w:r>
              <w:rPr>
                <w:rFonts w:hint="eastAsia" w:cs="Arial"/>
                <w:color w:val="000000" w:themeColor="text1"/>
                <w:spacing w:val="10"/>
                <w:sz w:val="21"/>
                <w:szCs w:val="24"/>
                <w:lang w:eastAsia="zh-CN"/>
                <w14:textFill>
                  <w14:solidFill>
                    <w14:schemeClr w14:val="tx1"/>
                  </w14:solidFill>
                </w14:textFill>
              </w:rPr>
              <w:t>(</w:t>
            </w:r>
            <w:r>
              <w:rPr>
                <w:rFonts w:ascii="宋体" w:hAnsi="宋体" w:eastAsia="宋体" w:cs="Arial"/>
                <w:color w:val="000000" w:themeColor="text1"/>
                <w:spacing w:val="10"/>
                <w:sz w:val="21"/>
                <w:szCs w:val="24"/>
                <w14:textFill>
                  <w14:solidFill>
                    <w14:schemeClr w14:val="tx1"/>
                  </w14:solidFill>
                </w14:textFill>
              </w:rPr>
              <w:t>℃</w:t>
            </w:r>
            <w:r>
              <w:rPr>
                <w:rFonts w:ascii="Times New Roman" w:hAnsi="Times New Roman" w:eastAsia="宋体" w:cs="Arial"/>
                <w:color w:val="000000" w:themeColor="text1"/>
                <w:spacing w:val="10"/>
                <w:sz w:val="21"/>
                <w:szCs w:val="24"/>
                <w14:textFill>
                  <w14:solidFill>
                    <w14:schemeClr w14:val="tx1"/>
                  </w14:solidFill>
                </w14:textFill>
              </w:rPr>
              <w:t>)</w:t>
            </w:r>
          </w:p>
        </w:tc>
        <w:tc>
          <w:tcPr>
            <w:tcW w:w="982" w:type="pct"/>
            <w:gridSpan w:val="3"/>
            <w:tcBorders>
              <w:tl2br w:val="nil"/>
              <w:tr2bl w:val="nil"/>
            </w:tcBorders>
            <w:noWrap w:val="0"/>
            <w:vAlign w:val="center"/>
          </w:tcPr>
          <w:p w14:paraId="7E9E704B">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w:t>
            </w:r>
          </w:p>
        </w:tc>
        <w:tc>
          <w:tcPr>
            <w:tcW w:w="1155" w:type="pct"/>
            <w:gridSpan w:val="3"/>
            <w:tcBorders>
              <w:tl2br w:val="nil"/>
              <w:tr2bl w:val="nil"/>
            </w:tcBorders>
            <w:noWrap w:val="0"/>
            <w:vAlign w:val="center"/>
          </w:tcPr>
          <w:p w14:paraId="22B7F38B">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爆炸下限（v%）</w:t>
            </w:r>
          </w:p>
        </w:tc>
        <w:tc>
          <w:tcPr>
            <w:tcW w:w="1758" w:type="pct"/>
            <w:gridSpan w:val="3"/>
            <w:tcBorders>
              <w:tl2br w:val="nil"/>
              <w:tr2bl w:val="nil"/>
            </w:tcBorders>
            <w:noWrap w:val="0"/>
            <w:vAlign w:val="center"/>
          </w:tcPr>
          <w:p w14:paraId="6D271991">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w:t>
            </w:r>
          </w:p>
        </w:tc>
      </w:tr>
      <w:tr w14:paraId="62500B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262" w:type="pct"/>
            <w:vMerge w:val="continue"/>
            <w:tcBorders>
              <w:tl2br w:val="nil"/>
              <w:tr2bl w:val="nil"/>
            </w:tcBorders>
            <w:noWrap w:val="0"/>
            <w:vAlign w:val="center"/>
          </w:tcPr>
          <w:p w14:paraId="6AC3320C">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4ADB75D2">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危险特性</w:t>
            </w:r>
          </w:p>
        </w:tc>
        <w:tc>
          <w:tcPr>
            <w:tcW w:w="3896" w:type="pct"/>
            <w:gridSpan w:val="9"/>
            <w:tcBorders>
              <w:tl2br w:val="nil"/>
              <w:tr2bl w:val="nil"/>
            </w:tcBorders>
            <w:noWrap w:val="0"/>
            <w:vAlign w:val="center"/>
          </w:tcPr>
          <w:p w14:paraId="6819BFA9">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宋体" w:hAnsi="宋体" w:eastAsia="宋体" w:cs="Times New Roman"/>
                <w:color w:val="000000" w:themeColor="text1"/>
                <w:sz w:val="21"/>
                <w:szCs w:val="21"/>
                <w14:textFill>
                  <w14:solidFill>
                    <w14:schemeClr w14:val="tx1"/>
                  </w14:solidFill>
                </w14:textFill>
              </w:rPr>
              <w:t>与酸发生中和反应并放热。遇潮时对铝、锌和锡有腐蚀性，并放出易燃易爆的氢气。本品不会燃烧</w:t>
            </w:r>
            <w:r>
              <w:rPr>
                <w:rFonts w:hint="eastAsia" w:ascii="宋体" w:hAnsi="宋体" w:cs="Times New Roman"/>
                <w:color w:val="000000" w:themeColor="text1"/>
                <w:sz w:val="21"/>
                <w:szCs w:val="21"/>
                <w:lang w:eastAsia="zh-CN"/>
                <w14:textFill>
                  <w14:solidFill>
                    <w14:schemeClr w14:val="tx1"/>
                  </w14:solidFill>
                </w14:textFill>
              </w:rPr>
              <w:t>，</w:t>
            </w:r>
            <w:r>
              <w:rPr>
                <w:rFonts w:ascii="宋体" w:hAnsi="宋体" w:eastAsia="宋体" w:cs="Times New Roman"/>
                <w:color w:val="000000" w:themeColor="text1"/>
                <w:sz w:val="21"/>
                <w:szCs w:val="21"/>
                <w14:textFill>
                  <w14:solidFill>
                    <w14:schemeClr w14:val="tx1"/>
                  </w14:solidFill>
                </w14:textFill>
              </w:rPr>
              <w:t xml:space="preserve"> 遇水和水蒸气大量放热</w:t>
            </w:r>
            <w:r>
              <w:rPr>
                <w:rFonts w:hint="eastAsia" w:ascii="宋体" w:hAnsi="宋体" w:cs="Times New Roman"/>
                <w:color w:val="000000" w:themeColor="text1"/>
                <w:sz w:val="21"/>
                <w:szCs w:val="21"/>
                <w:lang w:eastAsia="zh-CN"/>
                <w14:textFill>
                  <w14:solidFill>
                    <w14:schemeClr w14:val="tx1"/>
                  </w14:solidFill>
                </w14:textFill>
              </w:rPr>
              <w:t>，</w:t>
            </w:r>
            <w:r>
              <w:rPr>
                <w:rFonts w:ascii="宋体" w:hAnsi="宋体" w:eastAsia="宋体" w:cs="Times New Roman"/>
                <w:color w:val="000000" w:themeColor="text1"/>
                <w:sz w:val="21"/>
                <w:szCs w:val="21"/>
                <w14:textFill>
                  <w14:solidFill>
                    <w14:schemeClr w14:val="tx1"/>
                  </w14:solidFill>
                </w14:textFill>
              </w:rPr>
              <w:t xml:space="preserve"> 形成腐蚀性溶液。具有强腐蚀性。</w:t>
            </w:r>
          </w:p>
        </w:tc>
      </w:tr>
      <w:tr w14:paraId="021792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262" w:type="pct"/>
            <w:vMerge w:val="continue"/>
            <w:tcBorders>
              <w:tl2br w:val="nil"/>
              <w:tr2bl w:val="nil"/>
            </w:tcBorders>
            <w:noWrap w:val="0"/>
            <w:vAlign w:val="center"/>
          </w:tcPr>
          <w:p w14:paraId="1E0F176B">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09188CC0">
            <w:pPr>
              <w:spacing w:line="240" w:lineRule="auto"/>
              <w:ind w:firstLine="0" w:firstLineChars="0"/>
              <w:jc w:val="center"/>
              <w:rPr>
                <w:rFonts w:ascii="宋体" w:hAnsi="宋体" w:eastAsia="宋体" w:cs="Times New Roman"/>
                <w:color w:val="000000" w:themeColor="text1"/>
                <w:spacing w:val="4"/>
                <w:sz w:val="21"/>
                <w:szCs w:val="21"/>
                <w14:textFill>
                  <w14:solidFill>
                    <w14:schemeClr w14:val="tx1"/>
                  </w14:solidFill>
                </w14:textFill>
              </w:rPr>
            </w:pPr>
            <w:r>
              <w:rPr>
                <w:rFonts w:hint="eastAsia" w:ascii="宋体" w:hAnsi="宋体" w:eastAsia="宋体" w:cs="Times New Roman"/>
                <w:color w:val="000000" w:themeColor="text1"/>
                <w:spacing w:val="4"/>
                <w:sz w:val="21"/>
                <w:szCs w:val="21"/>
                <w14:textFill>
                  <w14:solidFill>
                    <w14:schemeClr w14:val="tx1"/>
                  </w14:solidFill>
                </w14:textFill>
              </w:rPr>
              <w:t>建规火险分级</w:t>
            </w:r>
          </w:p>
        </w:tc>
        <w:tc>
          <w:tcPr>
            <w:tcW w:w="982" w:type="pct"/>
            <w:gridSpan w:val="3"/>
            <w:tcBorders>
              <w:tl2br w:val="nil"/>
              <w:tr2bl w:val="nil"/>
            </w:tcBorders>
            <w:noWrap w:val="0"/>
            <w:vAlign w:val="center"/>
          </w:tcPr>
          <w:p w14:paraId="4D1E76AB">
            <w:pPr>
              <w:spacing w:line="240" w:lineRule="auto"/>
              <w:ind w:firstLine="0" w:firstLineChars="0"/>
              <w:jc w:val="center"/>
              <w:rPr>
                <w:rFonts w:hint="eastAsia" w:ascii="宋体" w:hAnsi="宋体" w:eastAsia="宋体" w:cs="Times New Roman"/>
                <w:color w:val="000000" w:themeColor="text1"/>
                <w:spacing w:val="10"/>
                <w:sz w:val="21"/>
                <w:szCs w:val="21"/>
                <w14:textFill>
                  <w14:solidFill>
                    <w14:schemeClr w14:val="tx1"/>
                  </w14:solidFill>
                </w14:textFill>
              </w:rPr>
            </w:pPr>
            <w:r>
              <w:rPr>
                <w:rFonts w:hint="eastAsia" w:ascii="宋体" w:hAnsi="宋体" w:eastAsia="宋体" w:cs="Times New Roman"/>
                <w:color w:val="000000" w:themeColor="text1"/>
                <w:spacing w:val="10"/>
                <w:sz w:val="21"/>
                <w:szCs w:val="21"/>
                <w14:textFill>
                  <w14:solidFill>
                    <w14:schemeClr w14:val="tx1"/>
                  </w14:solidFill>
                </w14:textFill>
              </w:rPr>
              <w:t>戊</w:t>
            </w:r>
          </w:p>
        </w:tc>
        <w:tc>
          <w:tcPr>
            <w:tcW w:w="673" w:type="pct"/>
            <w:tcBorders>
              <w:tl2br w:val="nil"/>
              <w:tr2bl w:val="nil"/>
            </w:tcBorders>
            <w:noWrap w:val="0"/>
            <w:vAlign w:val="center"/>
          </w:tcPr>
          <w:p w14:paraId="368B3553">
            <w:pPr>
              <w:spacing w:line="240" w:lineRule="auto"/>
              <w:ind w:firstLine="0" w:firstLineChars="0"/>
              <w:jc w:val="center"/>
              <w:rPr>
                <w:rFonts w:ascii="宋体" w:hAnsi="宋体" w:eastAsia="宋体" w:cs="Times New Roman"/>
                <w:color w:val="000000" w:themeColor="text1"/>
                <w:spacing w:val="10"/>
                <w:sz w:val="21"/>
                <w:szCs w:val="21"/>
                <w14:textFill>
                  <w14:solidFill>
                    <w14:schemeClr w14:val="tx1"/>
                  </w14:solidFill>
                </w14:textFill>
              </w:rPr>
            </w:pPr>
            <w:r>
              <w:rPr>
                <w:rFonts w:hint="eastAsia" w:ascii="宋体" w:hAnsi="宋体" w:eastAsia="宋体" w:cs="Times New Roman"/>
                <w:color w:val="000000" w:themeColor="text1"/>
                <w:spacing w:val="10"/>
                <w:sz w:val="21"/>
                <w:szCs w:val="21"/>
                <w14:textFill>
                  <w14:solidFill>
                    <w14:schemeClr w14:val="tx1"/>
                  </w14:solidFill>
                </w14:textFill>
              </w:rPr>
              <w:t>稳定性</w:t>
            </w:r>
          </w:p>
        </w:tc>
        <w:tc>
          <w:tcPr>
            <w:tcW w:w="481" w:type="pct"/>
            <w:gridSpan w:val="2"/>
            <w:tcBorders>
              <w:tl2br w:val="nil"/>
              <w:tr2bl w:val="nil"/>
            </w:tcBorders>
            <w:noWrap w:val="0"/>
            <w:vAlign w:val="center"/>
          </w:tcPr>
          <w:p w14:paraId="41DA6691">
            <w:pPr>
              <w:spacing w:line="240" w:lineRule="auto"/>
              <w:ind w:firstLine="0" w:firstLineChars="0"/>
              <w:jc w:val="center"/>
              <w:rPr>
                <w:rFonts w:hint="eastAsia" w:ascii="宋体" w:hAnsi="宋体" w:eastAsia="宋体" w:cs="Times New Roman"/>
                <w:color w:val="000000" w:themeColor="text1"/>
                <w:spacing w:val="10"/>
                <w:sz w:val="21"/>
                <w:szCs w:val="21"/>
                <w14:textFill>
                  <w14:solidFill>
                    <w14:schemeClr w14:val="tx1"/>
                  </w14:solidFill>
                </w14:textFill>
              </w:rPr>
            </w:pPr>
            <w:r>
              <w:rPr>
                <w:rFonts w:hint="eastAsia" w:ascii="宋体" w:hAnsi="宋体" w:eastAsia="宋体" w:cs="Times New Roman"/>
                <w:color w:val="000000" w:themeColor="text1"/>
                <w:spacing w:val="10"/>
                <w:sz w:val="21"/>
                <w:szCs w:val="21"/>
                <w14:textFill>
                  <w14:solidFill>
                    <w14:schemeClr w14:val="tx1"/>
                  </w14:solidFill>
                </w14:textFill>
              </w:rPr>
              <w:t>稳定</w:t>
            </w:r>
          </w:p>
        </w:tc>
        <w:tc>
          <w:tcPr>
            <w:tcW w:w="1036" w:type="pct"/>
            <w:tcBorders>
              <w:tl2br w:val="nil"/>
              <w:tr2bl w:val="nil"/>
            </w:tcBorders>
            <w:noWrap w:val="0"/>
            <w:vAlign w:val="center"/>
          </w:tcPr>
          <w:p w14:paraId="4B2538A8">
            <w:pPr>
              <w:spacing w:line="240" w:lineRule="auto"/>
              <w:ind w:firstLine="0" w:firstLineChars="0"/>
              <w:jc w:val="center"/>
              <w:rPr>
                <w:rFonts w:ascii="宋体" w:hAnsi="宋体" w:eastAsia="宋体" w:cs="Times New Roman"/>
                <w:color w:val="000000" w:themeColor="text1"/>
                <w:spacing w:val="10"/>
                <w:sz w:val="21"/>
                <w:szCs w:val="21"/>
                <w14:textFill>
                  <w14:solidFill>
                    <w14:schemeClr w14:val="tx1"/>
                  </w14:solidFill>
                </w14:textFill>
              </w:rPr>
            </w:pPr>
            <w:r>
              <w:rPr>
                <w:rFonts w:hint="eastAsia" w:ascii="宋体" w:hAnsi="宋体" w:eastAsia="宋体" w:cs="Times New Roman"/>
                <w:color w:val="000000" w:themeColor="text1"/>
                <w:spacing w:val="10"/>
                <w:sz w:val="21"/>
                <w:szCs w:val="21"/>
                <w14:textFill>
                  <w14:solidFill>
                    <w14:schemeClr w14:val="tx1"/>
                  </w14:solidFill>
                </w14:textFill>
              </w:rPr>
              <w:t>聚合危害</w:t>
            </w:r>
          </w:p>
        </w:tc>
        <w:tc>
          <w:tcPr>
            <w:tcW w:w="722" w:type="pct"/>
            <w:gridSpan w:val="2"/>
            <w:tcBorders>
              <w:tl2br w:val="nil"/>
              <w:tr2bl w:val="nil"/>
            </w:tcBorders>
            <w:noWrap w:val="0"/>
            <w:vAlign w:val="center"/>
          </w:tcPr>
          <w:p w14:paraId="4218E7EC">
            <w:pPr>
              <w:spacing w:line="240" w:lineRule="auto"/>
              <w:ind w:firstLine="0" w:firstLineChars="0"/>
              <w:jc w:val="center"/>
              <w:rPr>
                <w:rFonts w:hint="eastAsia" w:ascii="宋体" w:hAnsi="宋体" w:eastAsia="宋体" w:cs="Times New Roman"/>
                <w:color w:val="000000" w:themeColor="text1"/>
                <w:spacing w:val="10"/>
                <w:sz w:val="21"/>
                <w:szCs w:val="21"/>
                <w14:textFill>
                  <w14:solidFill>
                    <w14:schemeClr w14:val="tx1"/>
                  </w14:solidFill>
                </w14:textFill>
              </w:rPr>
            </w:pPr>
            <w:r>
              <w:rPr>
                <w:rFonts w:hint="eastAsia" w:ascii="宋体" w:hAnsi="宋体" w:eastAsia="宋体" w:cs="Times New Roman"/>
                <w:color w:val="000000" w:themeColor="text1"/>
                <w:spacing w:val="10"/>
                <w:sz w:val="21"/>
                <w:szCs w:val="21"/>
                <w14:textFill>
                  <w14:solidFill>
                    <w14:schemeClr w14:val="tx1"/>
                  </w14:solidFill>
                </w14:textFill>
              </w:rPr>
              <w:t>不聚合</w:t>
            </w:r>
          </w:p>
        </w:tc>
      </w:tr>
      <w:tr w14:paraId="345F6A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262" w:type="pct"/>
            <w:vMerge w:val="continue"/>
            <w:tcBorders>
              <w:tl2br w:val="nil"/>
              <w:tr2bl w:val="nil"/>
            </w:tcBorders>
            <w:noWrap w:val="0"/>
            <w:vAlign w:val="center"/>
          </w:tcPr>
          <w:p w14:paraId="573D611F">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244A0A2A">
            <w:pPr>
              <w:spacing w:line="240" w:lineRule="auto"/>
              <w:ind w:firstLine="0" w:firstLineChars="0"/>
              <w:jc w:val="center"/>
              <w:rPr>
                <w:rFonts w:ascii="宋体" w:hAnsi="宋体" w:eastAsia="宋体" w:cs="Times New Roman"/>
                <w:color w:val="000000" w:themeColor="text1"/>
                <w:spacing w:val="10"/>
                <w:sz w:val="21"/>
                <w:szCs w:val="21"/>
                <w14:textFill>
                  <w14:solidFill>
                    <w14:schemeClr w14:val="tx1"/>
                  </w14:solidFill>
                </w14:textFill>
              </w:rPr>
            </w:pPr>
            <w:r>
              <w:rPr>
                <w:rFonts w:hint="eastAsia" w:ascii="宋体" w:hAnsi="宋体" w:eastAsia="宋体" w:cs="Times New Roman"/>
                <w:color w:val="000000" w:themeColor="text1"/>
                <w:spacing w:val="10"/>
                <w:sz w:val="21"/>
                <w:szCs w:val="21"/>
                <w14:textFill>
                  <w14:solidFill>
                    <w14:schemeClr w14:val="tx1"/>
                  </w14:solidFill>
                </w14:textFill>
              </w:rPr>
              <w:t>禁忌物</w:t>
            </w:r>
          </w:p>
        </w:tc>
        <w:tc>
          <w:tcPr>
            <w:tcW w:w="3896" w:type="pct"/>
            <w:gridSpan w:val="9"/>
            <w:tcBorders>
              <w:tl2br w:val="nil"/>
              <w:tr2bl w:val="nil"/>
            </w:tcBorders>
            <w:noWrap w:val="0"/>
            <w:vAlign w:val="center"/>
          </w:tcPr>
          <w:p w14:paraId="0EF9B172">
            <w:pPr>
              <w:spacing w:line="240" w:lineRule="auto"/>
              <w:ind w:firstLine="0" w:firstLineChars="0"/>
              <w:rPr>
                <w:rFonts w:hint="eastAsia" w:ascii="宋体" w:hAnsi="宋体" w:eastAsia="宋体" w:cs="Times New Roman"/>
                <w:b/>
                <w:color w:val="000000" w:themeColor="text1"/>
                <w:spacing w:val="10"/>
                <w:sz w:val="21"/>
                <w:szCs w:val="21"/>
                <w14:textFill>
                  <w14:solidFill>
                    <w14:schemeClr w14:val="tx1"/>
                  </w14:solidFill>
                </w14:textFill>
              </w:rPr>
            </w:pPr>
            <w:r>
              <w:rPr>
                <w:rFonts w:ascii="宋体" w:hAnsi="宋体" w:eastAsia="宋体" w:cs="Times New Roman"/>
                <w:color w:val="000000" w:themeColor="text1"/>
                <w:sz w:val="21"/>
                <w:szCs w:val="21"/>
                <w14:textFill>
                  <w14:solidFill>
                    <w14:schemeClr w14:val="tx1"/>
                  </w14:solidFill>
                </w14:textFill>
              </w:rPr>
              <w:t>强酸、易燃或可燃物、二氧化碳、过氧化物、水。</w:t>
            </w:r>
          </w:p>
        </w:tc>
      </w:tr>
      <w:tr w14:paraId="37DCF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2" w:type="pct"/>
            <w:vMerge w:val="continue"/>
            <w:tcBorders>
              <w:tl2br w:val="nil"/>
              <w:tr2bl w:val="nil"/>
            </w:tcBorders>
            <w:noWrap w:val="0"/>
            <w:vAlign w:val="center"/>
          </w:tcPr>
          <w:p w14:paraId="15FD329B">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1CCA5213">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储运条件</w:t>
            </w:r>
          </w:p>
          <w:p w14:paraId="1AC817C4">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与泄漏处理</w:t>
            </w:r>
          </w:p>
        </w:tc>
        <w:tc>
          <w:tcPr>
            <w:tcW w:w="3896" w:type="pct"/>
            <w:gridSpan w:val="9"/>
            <w:tcBorders>
              <w:tl2br w:val="nil"/>
              <w:tr2bl w:val="nil"/>
            </w:tcBorders>
            <w:noWrap w:val="0"/>
            <w:vAlign w:val="center"/>
          </w:tcPr>
          <w:p w14:paraId="239BEB8B">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b/>
                <w:color w:val="000000" w:themeColor="text1"/>
                <w:spacing w:val="10"/>
                <w:sz w:val="21"/>
                <w:szCs w:val="24"/>
                <w14:textFill>
                  <w14:solidFill>
                    <w14:schemeClr w14:val="tx1"/>
                  </w14:solidFill>
                </w14:textFill>
              </w:rPr>
              <w:t>储运条件</w:t>
            </w:r>
            <w:r>
              <w:rPr>
                <w:rFonts w:ascii="Times New Roman" w:hAnsi="Times New Roman" w:eastAsia="宋体" w:cs="Arial"/>
                <w:color w:val="000000" w:themeColor="text1"/>
                <w:spacing w:val="10"/>
                <w:sz w:val="21"/>
                <w:szCs w:val="24"/>
                <w14:textFill>
                  <w14:solidFill>
                    <w14:schemeClr w14:val="tx1"/>
                  </w14:solidFill>
                </w14:textFill>
              </w:rPr>
              <w:t>：储存于干燥清洁的仓间内，注意防潮和雨淋。应与易燃或可燃物及酸类分开存放。搬运时应轻装轻卸，防止包装和容器损坏。雨天不宜运输。</w:t>
            </w:r>
            <w:r>
              <w:rPr>
                <w:rFonts w:ascii="Times New Roman" w:hAnsi="Times New Roman" w:eastAsia="宋体" w:cs="Arial"/>
                <w:b/>
                <w:color w:val="000000" w:themeColor="text1"/>
                <w:spacing w:val="10"/>
                <w:sz w:val="21"/>
                <w:szCs w:val="24"/>
                <w14:textFill>
                  <w14:solidFill>
                    <w14:schemeClr w14:val="tx1"/>
                  </w14:solidFill>
                </w14:textFill>
              </w:rPr>
              <w:t>泄漏处理</w:t>
            </w:r>
            <w:r>
              <w:rPr>
                <w:rFonts w:ascii="Times New Roman" w:hAnsi="Times New Roman" w:eastAsia="宋体" w:cs="Arial"/>
                <w:color w:val="000000" w:themeColor="text1"/>
                <w:spacing w:val="10"/>
                <w:sz w:val="21"/>
                <w:szCs w:val="24"/>
                <w14:textFill>
                  <w14:solidFill>
                    <w14:schemeClr w14:val="tx1"/>
                  </w14:solidFill>
                </w14:textFill>
              </w:rPr>
              <w:t>：</w:t>
            </w:r>
            <w:r>
              <w:rPr>
                <w:rFonts w:ascii="Times New Roman" w:hAnsi="Times New Roman" w:eastAsia="宋体" w:cs="Arial"/>
                <w:color w:val="000000" w:themeColor="text1"/>
                <w:sz w:val="21"/>
                <w:szCs w:val="24"/>
                <w14:textFill>
                  <w14:solidFill>
                    <w14:schemeClr w14:val="tx1"/>
                  </w14:solidFill>
                </w14:textFill>
              </w:rPr>
              <w:t>隔离泄漏污染区，周围设警告标志，建议应急处理人员戴好防毒面具，穿化学防护服。不要直接接触泄漏物，用洁清的铲子收集于干燥</w:t>
            </w:r>
            <w:r>
              <w:rPr>
                <w:rFonts w:hint="eastAsia" w:cs="Arial"/>
                <w:color w:val="000000" w:themeColor="text1"/>
                <w:sz w:val="21"/>
                <w:szCs w:val="24"/>
                <w:lang w:eastAsia="zh-CN"/>
                <w14:textFill>
                  <w14:solidFill>
                    <w14:schemeClr w14:val="tx1"/>
                  </w14:solidFill>
                </w14:textFill>
              </w:rPr>
              <w:t>洁净有盖的</w:t>
            </w:r>
            <w:r>
              <w:rPr>
                <w:rFonts w:ascii="Times New Roman" w:hAnsi="Times New Roman" w:eastAsia="宋体" w:cs="Arial"/>
                <w:color w:val="000000" w:themeColor="text1"/>
                <w:sz w:val="21"/>
                <w:szCs w:val="24"/>
                <w14:textFill>
                  <w14:solidFill>
                    <w14:schemeClr w14:val="tx1"/>
                  </w14:solidFill>
                </w14:textFill>
              </w:rPr>
              <w:t>容器中，以少量加入大量水中，调节至中性，再放入废水系统。也可以用大量水冲洗，经稀释的洗水放入废水系统。如大量泄漏，收集回收或无害处理后废弃。</w:t>
            </w:r>
          </w:p>
        </w:tc>
      </w:tr>
      <w:tr w14:paraId="16E279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2" w:type="pct"/>
            <w:vMerge w:val="continue"/>
            <w:tcBorders>
              <w:tl2br w:val="nil"/>
              <w:tr2bl w:val="nil"/>
            </w:tcBorders>
            <w:noWrap w:val="0"/>
            <w:vAlign w:val="center"/>
          </w:tcPr>
          <w:p w14:paraId="5513F5B5">
            <w:pPr>
              <w:widowControl/>
              <w:spacing w:line="240" w:lineRule="auto"/>
              <w:ind w:firstLine="0" w:firstLineChars="0"/>
              <w:jc w:val="left"/>
              <w:rPr>
                <w:rFonts w:ascii="Times New Roman" w:hAnsi="Times New Roman" w:eastAsia="宋体" w:cs="Arial"/>
                <w:color w:val="000000" w:themeColor="text1"/>
                <w:spacing w:val="10"/>
                <w:sz w:val="21"/>
                <w:szCs w:val="24"/>
                <w14:textFill>
                  <w14:solidFill>
                    <w14:schemeClr w14:val="tx1"/>
                  </w14:solidFill>
                </w14:textFill>
              </w:rPr>
            </w:pPr>
          </w:p>
        </w:tc>
        <w:tc>
          <w:tcPr>
            <w:tcW w:w="840" w:type="pct"/>
            <w:tcBorders>
              <w:tl2br w:val="nil"/>
              <w:tr2bl w:val="nil"/>
            </w:tcBorders>
            <w:noWrap w:val="0"/>
            <w:vAlign w:val="center"/>
          </w:tcPr>
          <w:p w14:paraId="78B6CD66">
            <w:pPr>
              <w:spacing w:line="240" w:lineRule="auto"/>
              <w:ind w:firstLine="0" w:firstLineChars="0"/>
              <w:jc w:val="center"/>
              <w:rPr>
                <w:rFonts w:ascii="Times New Roman" w:hAnsi="Times New Roman" w:eastAsia="宋体" w:cs="Arial"/>
                <w:color w:val="000000" w:themeColor="text1"/>
                <w:spacing w:val="10"/>
                <w:sz w:val="21"/>
                <w:szCs w:val="24"/>
                <w14:textFill>
                  <w14:solidFill>
                    <w14:schemeClr w14:val="tx1"/>
                  </w14:solidFill>
                </w14:textFill>
              </w:rPr>
            </w:pPr>
            <w:r>
              <w:rPr>
                <w:rFonts w:ascii="Times New Roman" w:hAnsi="Times New Roman" w:eastAsia="宋体" w:cs="Arial"/>
                <w:color w:val="000000" w:themeColor="text1"/>
                <w:spacing w:val="10"/>
                <w:sz w:val="21"/>
                <w:szCs w:val="24"/>
                <w14:textFill>
                  <w14:solidFill>
                    <w14:schemeClr w14:val="tx1"/>
                  </w14:solidFill>
                </w14:textFill>
              </w:rPr>
              <w:t>灭火方法</w:t>
            </w:r>
          </w:p>
        </w:tc>
        <w:tc>
          <w:tcPr>
            <w:tcW w:w="3896" w:type="pct"/>
            <w:gridSpan w:val="9"/>
            <w:tcBorders>
              <w:tl2br w:val="nil"/>
              <w:tr2bl w:val="nil"/>
            </w:tcBorders>
            <w:noWrap w:val="0"/>
            <w:vAlign w:val="center"/>
          </w:tcPr>
          <w:p w14:paraId="1EB0F998">
            <w:pPr>
              <w:spacing w:line="240" w:lineRule="auto"/>
              <w:ind w:firstLine="0" w:firstLineChars="0"/>
              <w:rPr>
                <w:rFonts w:ascii="Times New Roman" w:hAnsi="Times New Roman" w:eastAsia="宋体" w:cs="Arial"/>
                <w:color w:val="000000" w:themeColor="text1"/>
                <w:spacing w:val="10"/>
                <w:sz w:val="21"/>
                <w:szCs w:val="24"/>
                <w14:textFill>
                  <w14:solidFill>
                    <w14:schemeClr w14:val="tx1"/>
                  </w14:solidFill>
                </w14:textFill>
              </w:rPr>
            </w:pPr>
            <w:r>
              <w:rPr>
                <w:rFonts w:ascii="宋体" w:hAnsi="宋体" w:eastAsia="宋体" w:cs="Times New Roman"/>
                <w:color w:val="000000" w:themeColor="text1"/>
                <w:sz w:val="21"/>
                <w:szCs w:val="24"/>
                <w14:textFill>
                  <w14:solidFill>
                    <w14:schemeClr w14:val="tx1"/>
                  </w14:solidFill>
                </w14:textFill>
              </w:rPr>
              <w:t>用水、砂土扑救，但须防止物品遇水产生飞溅，造成灼伤。</w:t>
            </w:r>
          </w:p>
        </w:tc>
      </w:tr>
    </w:tbl>
    <w:p w14:paraId="72E9A773">
      <w:pPr>
        <w:keepNext/>
        <w:keepLines/>
        <w:pageBreakBefore w:val="0"/>
        <w:widowControl w:val="0"/>
        <w:tabs>
          <w:tab w:val="left" w:pos="2924"/>
          <w:tab w:val="center" w:pos="4522"/>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lang w:val="zh-CN"/>
          <w14:textFill>
            <w14:solidFill>
              <w14:schemeClr w14:val="tx1"/>
            </w14:solidFill>
          </w14:textFill>
        </w:rPr>
      </w:pPr>
    </w:p>
    <w:p w14:paraId="522E818D">
      <w:pPr>
        <w:keepNext/>
        <w:keepLines/>
        <w:pageBreakBefore w:val="0"/>
        <w:widowControl w:val="0"/>
        <w:tabs>
          <w:tab w:val="left" w:pos="2924"/>
          <w:tab w:val="center" w:pos="4522"/>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val="zh-CN"/>
          <w14:textFill>
            <w14:solidFill>
              <w14:schemeClr w14:val="tx1"/>
            </w14:solidFill>
          </w14:textFill>
        </w:rPr>
        <w:t>表</w:t>
      </w:r>
      <w:r>
        <w:rPr>
          <w:rFonts w:hint="default" w:ascii="Times New Roman" w:hAnsi="Times New Roman" w:cs="Times New Roman"/>
          <w:b/>
          <w:bCs/>
          <w:color w:val="000000" w:themeColor="text1"/>
          <w14:textFill>
            <w14:solidFill>
              <w14:schemeClr w14:val="tx1"/>
            </w14:solidFill>
          </w14:textFill>
        </w:rPr>
        <w:t>3-</w:t>
      </w:r>
      <w:r>
        <w:rPr>
          <w:rFonts w:hint="default" w:ascii="Times New Roman" w:hAnsi="Times New Roman" w:cs="Times New Roman"/>
          <w:b/>
          <w:bCs/>
          <w:color w:val="000000" w:themeColor="text1"/>
          <w:lang w:val="en-US" w:eastAsia="zh-CN"/>
          <w14:textFill>
            <w14:solidFill>
              <w14:schemeClr w14:val="tx1"/>
            </w14:solidFill>
          </w14:textFill>
        </w:rPr>
        <w:t>3</w:t>
      </w:r>
      <w:r>
        <w:rPr>
          <w:rFonts w:hint="default" w:ascii="Times New Roman" w:hAnsi="Times New Roman" w:cs="Times New Roman"/>
          <w:b/>
          <w:bCs/>
          <w:color w:val="000000" w:themeColor="text1"/>
          <w14:textFill>
            <w14:solidFill>
              <w14:schemeClr w14:val="tx1"/>
            </w14:solidFill>
          </w14:textFill>
        </w:rPr>
        <w:t>乙炔</w:t>
      </w:r>
      <w:r>
        <w:rPr>
          <w:rFonts w:hint="default" w:ascii="Times New Roman" w:hAnsi="Times New Roman" w:cs="Times New Roman"/>
          <w:b/>
          <w:bCs/>
          <w:color w:val="000000" w:themeColor="text1"/>
          <w:lang w:val="zh-CN"/>
          <w14:textFill>
            <w14:solidFill>
              <w14:schemeClr w14:val="tx1"/>
            </w14:solidFill>
          </w14:textFill>
        </w:rPr>
        <w:t>的理化特性表</w:t>
      </w:r>
    </w:p>
    <w:tbl>
      <w:tblPr>
        <w:tblStyle w:val="51"/>
        <w:tblpPr w:leftFromText="180" w:rightFromText="180" w:vertAnchor="text" w:horzAnchor="page" w:tblpX="1578" w:tblpY="528"/>
        <w:tblOverlap w:val="never"/>
        <w:tblW w:w="8856"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28" w:type="dxa"/>
          <w:left w:w="57" w:type="dxa"/>
          <w:bottom w:w="28" w:type="dxa"/>
          <w:right w:w="28" w:type="dxa"/>
        </w:tblCellMar>
      </w:tblPr>
      <w:tblGrid>
        <w:gridCol w:w="939"/>
        <w:gridCol w:w="2682"/>
        <w:gridCol w:w="2310"/>
        <w:gridCol w:w="2925"/>
      </w:tblGrid>
      <w:tr w14:paraId="1D1A63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restart"/>
            <w:noWrap/>
            <w:vAlign w:val="center"/>
          </w:tcPr>
          <w:p w14:paraId="7594ECCC">
            <w:pPr>
              <w:autoSpaceDE w:val="0"/>
              <w:autoSpaceDN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标识</w:t>
            </w:r>
          </w:p>
        </w:tc>
        <w:tc>
          <w:tcPr>
            <w:tcW w:w="2682" w:type="dxa"/>
            <w:noWrap/>
            <w:vAlign w:val="center"/>
          </w:tcPr>
          <w:p w14:paraId="6D678303">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中文名: 乙炔；电石气</w:t>
            </w:r>
          </w:p>
        </w:tc>
        <w:tc>
          <w:tcPr>
            <w:tcW w:w="5235" w:type="dxa"/>
            <w:gridSpan w:val="2"/>
            <w:noWrap/>
            <w:vAlign w:val="center"/>
          </w:tcPr>
          <w:p w14:paraId="61A790C0">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英文名：acetylene</w:t>
            </w:r>
          </w:p>
        </w:tc>
      </w:tr>
      <w:tr w14:paraId="66365AC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continue"/>
            <w:noWrap/>
            <w:vAlign w:val="center"/>
          </w:tcPr>
          <w:p w14:paraId="281E299E">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p>
        </w:tc>
        <w:tc>
          <w:tcPr>
            <w:tcW w:w="2682" w:type="dxa"/>
            <w:noWrap/>
            <w:vAlign w:val="center"/>
          </w:tcPr>
          <w:p w14:paraId="56F21F59">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分子式：C</w:t>
            </w:r>
            <w:r>
              <w:rPr>
                <w:rFonts w:hint="eastAsia" w:ascii="宋体" w:hAnsi="宋体" w:eastAsia="宋体" w:cs="宋体"/>
                <w:color w:val="000000" w:themeColor="text1"/>
                <w:spacing w:val="-12"/>
                <w:sz w:val="21"/>
                <w:szCs w:val="21"/>
                <w:vertAlign w:val="subscript"/>
                <w14:textFill>
                  <w14:solidFill>
                    <w14:schemeClr w14:val="tx1"/>
                  </w14:solidFill>
                </w14:textFill>
              </w:rPr>
              <w:t>2</w:t>
            </w:r>
            <w:r>
              <w:rPr>
                <w:rFonts w:hint="eastAsia" w:ascii="宋体" w:hAnsi="宋体" w:eastAsia="宋体" w:cs="宋体"/>
                <w:color w:val="000000" w:themeColor="text1"/>
                <w:spacing w:val="-12"/>
                <w:sz w:val="21"/>
                <w:szCs w:val="21"/>
                <w14:textFill>
                  <w14:solidFill>
                    <w14:schemeClr w14:val="tx1"/>
                  </w14:solidFill>
                </w14:textFill>
              </w:rPr>
              <w:t>H</w:t>
            </w:r>
            <w:r>
              <w:rPr>
                <w:rFonts w:hint="eastAsia" w:ascii="宋体" w:hAnsi="宋体" w:eastAsia="宋体" w:cs="宋体"/>
                <w:color w:val="000000" w:themeColor="text1"/>
                <w:spacing w:val="-12"/>
                <w:sz w:val="21"/>
                <w:szCs w:val="21"/>
                <w:vertAlign w:val="subscript"/>
                <w14:textFill>
                  <w14:solidFill>
                    <w14:schemeClr w14:val="tx1"/>
                  </w14:solidFill>
                </w14:textFill>
              </w:rPr>
              <w:t>2</w:t>
            </w:r>
          </w:p>
        </w:tc>
        <w:tc>
          <w:tcPr>
            <w:tcW w:w="2310" w:type="dxa"/>
            <w:noWrap/>
            <w:vAlign w:val="center"/>
          </w:tcPr>
          <w:p w14:paraId="227DE3D6">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分子量：26.04</w:t>
            </w:r>
          </w:p>
        </w:tc>
        <w:tc>
          <w:tcPr>
            <w:tcW w:w="2925" w:type="dxa"/>
            <w:noWrap/>
            <w:vAlign w:val="center"/>
          </w:tcPr>
          <w:p w14:paraId="1FEF785A">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UN编号：</w:t>
            </w:r>
            <w:r>
              <w:rPr>
                <w:rFonts w:hint="eastAsia" w:ascii="宋体" w:hAnsi="宋体" w:eastAsia="宋体" w:cs="宋体"/>
                <w:color w:val="000000" w:themeColor="text1"/>
                <w:spacing w:val="-12"/>
                <w:sz w:val="21"/>
                <w:szCs w:val="21"/>
                <w:lang w:val="en-US" w:eastAsia="zh-CN"/>
                <w14:textFill>
                  <w14:solidFill>
                    <w14:schemeClr w14:val="tx1"/>
                  </w14:solidFill>
                </w14:textFill>
              </w:rPr>
              <w:t>100</w:t>
            </w:r>
            <w:r>
              <w:rPr>
                <w:rFonts w:hint="eastAsia" w:ascii="宋体" w:hAnsi="宋体" w:eastAsia="宋体" w:cs="宋体"/>
                <w:color w:val="000000" w:themeColor="text1"/>
                <w:spacing w:val="-12"/>
                <w:sz w:val="21"/>
                <w:szCs w:val="21"/>
                <w14:textFill>
                  <w14:solidFill>
                    <w14:schemeClr w14:val="tx1"/>
                  </w14:solidFill>
                </w14:textFill>
              </w:rPr>
              <w:t>1</w:t>
            </w:r>
          </w:p>
        </w:tc>
      </w:tr>
      <w:tr w14:paraId="5AEA9E5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continue"/>
            <w:noWrap/>
            <w:vAlign w:val="center"/>
          </w:tcPr>
          <w:p w14:paraId="5133D2A9">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p>
        </w:tc>
        <w:tc>
          <w:tcPr>
            <w:tcW w:w="2682" w:type="dxa"/>
            <w:noWrap/>
            <w:vAlign w:val="center"/>
          </w:tcPr>
          <w:p w14:paraId="1BC1D12B">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危规号：21024</w:t>
            </w:r>
          </w:p>
        </w:tc>
        <w:tc>
          <w:tcPr>
            <w:tcW w:w="2310" w:type="dxa"/>
            <w:noWrap/>
            <w:vAlign w:val="center"/>
          </w:tcPr>
          <w:p w14:paraId="1DAAD071">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RTECS号：AO9600000</w:t>
            </w:r>
          </w:p>
        </w:tc>
        <w:tc>
          <w:tcPr>
            <w:tcW w:w="2925" w:type="dxa"/>
            <w:noWrap/>
            <w:vAlign w:val="center"/>
          </w:tcPr>
          <w:p w14:paraId="2A2F97E9">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CAS号：74-86-2</w:t>
            </w:r>
          </w:p>
        </w:tc>
      </w:tr>
      <w:tr w14:paraId="05C0332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restart"/>
            <w:noWrap/>
            <w:vAlign w:val="center"/>
          </w:tcPr>
          <w:p w14:paraId="15E9A112">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理化</w:t>
            </w:r>
          </w:p>
          <w:p w14:paraId="345CCF12">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性质</w:t>
            </w:r>
          </w:p>
        </w:tc>
        <w:tc>
          <w:tcPr>
            <w:tcW w:w="7917" w:type="dxa"/>
            <w:gridSpan w:val="3"/>
            <w:noWrap/>
            <w:vAlign w:val="center"/>
          </w:tcPr>
          <w:p w14:paraId="04BCD25C">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性状：无色无臭气体，工业品有使人不愉快的大蒜气味</w:t>
            </w:r>
          </w:p>
        </w:tc>
      </w:tr>
      <w:tr w14:paraId="210C5F1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continue"/>
            <w:noWrap/>
            <w:vAlign w:val="center"/>
          </w:tcPr>
          <w:p w14:paraId="77C4A6F8">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p>
        </w:tc>
        <w:tc>
          <w:tcPr>
            <w:tcW w:w="2682" w:type="dxa"/>
            <w:noWrap/>
            <w:vAlign w:val="center"/>
          </w:tcPr>
          <w:p w14:paraId="7FCEA141">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熔点(℃)：-81.8℃/119kPa</w:t>
            </w:r>
          </w:p>
        </w:tc>
        <w:tc>
          <w:tcPr>
            <w:tcW w:w="5235" w:type="dxa"/>
            <w:gridSpan w:val="2"/>
            <w:noWrap/>
            <w:vAlign w:val="center"/>
          </w:tcPr>
          <w:p w14:paraId="08D1525D">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溶解性：微溶于水、乙醇，溶于丙酮、氯仿、苯</w:t>
            </w:r>
          </w:p>
        </w:tc>
      </w:tr>
      <w:tr w14:paraId="4844EB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continue"/>
            <w:noWrap/>
            <w:vAlign w:val="center"/>
          </w:tcPr>
          <w:p w14:paraId="02F6CC16">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p>
        </w:tc>
        <w:tc>
          <w:tcPr>
            <w:tcW w:w="2682" w:type="dxa"/>
            <w:noWrap/>
            <w:vAlign w:val="center"/>
          </w:tcPr>
          <w:p w14:paraId="62446CA5">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沸点(℃)：-83.8℃</w:t>
            </w:r>
          </w:p>
        </w:tc>
        <w:tc>
          <w:tcPr>
            <w:tcW w:w="5235" w:type="dxa"/>
            <w:gridSpan w:val="2"/>
            <w:noWrap/>
            <w:vAlign w:val="center"/>
          </w:tcPr>
          <w:p w14:paraId="12231E07">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饱和蒸气压(kPa)：40</w:t>
            </w:r>
            <w:r>
              <w:rPr>
                <w:rFonts w:hint="eastAsia" w:ascii="宋体" w:hAnsi="宋体" w:eastAsia="宋体" w:cs="宋体"/>
                <w:color w:val="000000" w:themeColor="text1"/>
                <w:spacing w:val="-12"/>
                <w:sz w:val="21"/>
                <w:szCs w:val="21"/>
                <w:lang w:val="en-US" w:eastAsia="zh-CN"/>
                <w14:textFill>
                  <w14:solidFill>
                    <w14:schemeClr w14:val="tx1"/>
                  </w14:solidFill>
                </w14:textFill>
              </w:rPr>
              <w:t>5</w:t>
            </w:r>
            <w:r>
              <w:rPr>
                <w:rFonts w:hint="eastAsia" w:ascii="宋体" w:hAnsi="宋体" w:eastAsia="宋体" w:cs="宋体"/>
                <w:color w:val="000000" w:themeColor="text1"/>
                <w:spacing w:val="-12"/>
                <w:sz w:val="21"/>
                <w:szCs w:val="21"/>
                <w14:textFill>
                  <w14:solidFill>
                    <w14:schemeClr w14:val="tx1"/>
                  </w14:solidFill>
                </w14:textFill>
              </w:rPr>
              <w:t>3kPa/16.8℃</w:t>
            </w:r>
          </w:p>
        </w:tc>
      </w:tr>
      <w:tr w14:paraId="456E52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continue"/>
            <w:noWrap/>
            <w:vAlign w:val="center"/>
          </w:tcPr>
          <w:p w14:paraId="6D28E584">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p>
        </w:tc>
        <w:tc>
          <w:tcPr>
            <w:tcW w:w="2682" w:type="dxa"/>
            <w:noWrap/>
            <w:vAlign w:val="center"/>
          </w:tcPr>
          <w:p w14:paraId="0CBC67DE">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临界温度(℃)：35.2</w:t>
            </w:r>
          </w:p>
        </w:tc>
        <w:tc>
          <w:tcPr>
            <w:tcW w:w="5235" w:type="dxa"/>
            <w:gridSpan w:val="2"/>
            <w:noWrap/>
            <w:vAlign w:val="center"/>
          </w:tcPr>
          <w:p w14:paraId="77EFE767">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相对密度(水=1)：0.62</w:t>
            </w:r>
          </w:p>
        </w:tc>
      </w:tr>
      <w:tr w14:paraId="5EADEA2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continue"/>
            <w:noWrap/>
            <w:vAlign w:val="center"/>
          </w:tcPr>
          <w:p w14:paraId="626EAAE4">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p>
        </w:tc>
        <w:tc>
          <w:tcPr>
            <w:tcW w:w="2682" w:type="dxa"/>
            <w:noWrap/>
            <w:vAlign w:val="center"/>
          </w:tcPr>
          <w:p w14:paraId="2F1DFCDF">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临界压力(MPa)：6.14</w:t>
            </w:r>
          </w:p>
        </w:tc>
        <w:tc>
          <w:tcPr>
            <w:tcW w:w="5235" w:type="dxa"/>
            <w:gridSpan w:val="2"/>
            <w:noWrap/>
            <w:vAlign w:val="center"/>
          </w:tcPr>
          <w:p w14:paraId="7357F8DD">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相对密度(空气=1)：0.91</w:t>
            </w:r>
          </w:p>
        </w:tc>
      </w:tr>
      <w:tr w14:paraId="3E7C965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restart"/>
            <w:noWrap/>
            <w:vAlign w:val="center"/>
          </w:tcPr>
          <w:p w14:paraId="4BC48B35">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燃烧</w:t>
            </w:r>
          </w:p>
          <w:p w14:paraId="5278299C">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爆炸</w:t>
            </w:r>
          </w:p>
          <w:p w14:paraId="73496D84">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危险</w:t>
            </w:r>
          </w:p>
          <w:p w14:paraId="4FA94090">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w:t>
            </w:r>
          </w:p>
        </w:tc>
        <w:tc>
          <w:tcPr>
            <w:tcW w:w="2682" w:type="dxa"/>
            <w:noWrap/>
            <w:vAlign w:val="center"/>
          </w:tcPr>
          <w:p w14:paraId="38F415EC">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燃烧性：易燃</w:t>
            </w:r>
          </w:p>
        </w:tc>
        <w:tc>
          <w:tcPr>
            <w:tcW w:w="5235" w:type="dxa"/>
            <w:gridSpan w:val="2"/>
            <w:noWrap/>
            <w:vAlign w:val="center"/>
          </w:tcPr>
          <w:p w14:paraId="2624DBC6">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燃烧分解产物：一氧化碳、二氧化碳</w:t>
            </w:r>
          </w:p>
        </w:tc>
      </w:tr>
      <w:tr w14:paraId="6EBC9A6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continue"/>
            <w:noWrap/>
            <w:vAlign w:val="center"/>
          </w:tcPr>
          <w:p w14:paraId="32BB3A4C">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p>
        </w:tc>
        <w:tc>
          <w:tcPr>
            <w:tcW w:w="2682" w:type="dxa"/>
            <w:noWrap/>
            <w:vAlign w:val="center"/>
          </w:tcPr>
          <w:p w14:paraId="7F9847D5">
            <w:pPr>
              <w:autoSpaceDE w:val="0"/>
              <w:autoSpaceDN w:val="0"/>
              <w:spacing w:line="300" w:lineRule="exact"/>
              <w:rPr>
                <w:rFonts w:hint="eastAsia" w:ascii="宋体" w:hAnsi="宋体" w:eastAsia="宋体" w:cs="宋体"/>
                <w:color w:val="000000" w:themeColor="text1"/>
                <w:spacing w:val="-12"/>
                <w:sz w:val="21"/>
                <w:szCs w:val="21"/>
                <w:lang w:eastAsia="zh-CN"/>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闪点(℃)：</w:t>
            </w:r>
            <w:r>
              <w:rPr>
                <w:rFonts w:hint="eastAsia" w:ascii="宋体" w:hAnsi="宋体" w:eastAsia="宋体" w:cs="宋体"/>
                <w:color w:val="000000" w:themeColor="text1"/>
                <w:spacing w:val="-12"/>
                <w:sz w:val="21"/>
                <w:szCs w:val="21"/>
                <w:lang w:eastAsia="zh-CN"/>
                <w14:textFill>
                  <w14:solidFill>
                    <w14:schemeClr w14:val="tx1"/>
                  </w14:solidFill>
                </w14:textFill>
              </w:rPr>
              <w:t>无意义</w:t>
            </w:r>
          </w:p>
        </w:tc>
        <w:tc>
          <w:tcPr>
            <w:tcW w:w="5235" w:type="dxa"/>
            <w:gridSpan w:val="2"/>
            <w:noWrap/>
            <w:vAlign w:val="center"/>
          </w:tcPr>
          <w:p w14:paraId="3CD672DD">
            <w:pPr>
              <w:autoSpaceDE w:val="0"/>
              <w:autoSpaceDN w:val="0"/>
              <w:spacing w:line="300" w:lineRule="exact"/>
              <w:rPr>
                <w:rFonts w:hint="eastAsia" w:ascii="宋体" w:hAnsi="宋体" w:eastAsia="宋体" w:cs="宋体"/>
                <w:color w:val="000000" w:themeColor="text1"/>
                <w:spacing w:val="-12"/>
                <w:sz w:val="21"/>
                <w:szCs w:val="21"/>
                <w:lang w:val="en-US" w:eastAsia="zh-CN"/>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最小</w:t>
            </w:r>
            <w:r>
              <w:rPr>
                <w:rFonts w:hint="eastAsia" w:ascii="宋体" w:hAnsi="宋体" w:eastAsia="宋体" w:cs="宋体"/>
                <w:color w:val="000000" w:themeColor="text1"/>
                <w:spacing w:val="-12"/>
                <w:sz w:val="21"/>
                <w:szCs w:val="21"/>
                <w:lang w:eastAsia="zh-CN"/>
                <w14:textFill>
                  <w14:solidFill>
                    <w14:schemeClr w14:val="tx1"/>
                  </w14:solidFill>
                </w14:textFill>
              </w:rPr>
              <w:t>点火</w:t>
            </w:r>
            <w:r>
              <w:rPr>
                <w:rFonts w:hint="eastAsia" w:ascii="宋体" w:hAnsi="宋体" w:eastAsia="宋体" w:cs="宋体"/>
                <w:color w:val="000000" w:themeColor="text1"/>
                <w:spacing w:val="-12"/>
                <w:sz w:val="21"/>
                <w:szCs w:val="21"/>
                <w14:textFill>
                  <w14:solidFill>
                    <w14:schemeClr w14:val="tx1"/>
                  </w14:solidFill>
                </w14:textFill>
              </w:rPr>
              <w:t>能(MJ)：</w:t>
            </w:r>
            <w:r>
              <w:rPr>
                <w:rFonts w:hint="eastAsia" w:ascii="宋体" w:hAnsi="宋体" w:eastAsia="宋体" w:cs="宋体"/>
                <w:color w:val="000000" w:themeColor="text1"/>
                <w:spacing w:val="-12"/>
                <w:sz w:val="21"/>
                <w:szCs w:val="21"/>
                <w:lang w:val="en-US" w:eastAsia="zh-CN"/>
                <w14:textFill>
                  <w14:solidFill>
                    <w14:schemeClr w14:val="tx1"/>
                  </w14:solidFill>
                </w14:textFill>
              </w:rPr>
              <w:t>0.02</w:t>
            </w:r>
          </w:p>
        </w:tc>
      </w:tr>
      <w:tr w14:paraId="7D374FC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continue"/>
            <w:noWrap/>
            <w:vAlign w:val="center"/>
          </w:tcPr>
          <w:p w14:paraId="76E8A074">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p>
        </w:tc>
        <w:tc>
          <w:tcPr>
            <w:tcW w:w="2682" w:type="dxa"/>
            <w:noWrap/>
            <w:vAlign w:val="center"/>
          </w:tcPr>
          <w:p w14:paraId="1E7DDF61">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爆炸极限(V％)：2.1~80</w:t>
            </w:r>
          </w:p>
        </w:tc>
        <w:tc>
          <w:tcPr>
            <w:tcW w:w="2310" w:type="dxa"/>
            <w:noWrap/>
            <w:vAlign w:val="center"/>
          </w:tcPr>
          <w:p w14:paraId="224D5CFA">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稳定性：稳定</w:t>
            </w:r>
          </w:p>
        </w:tc>
        <w:tc>
          <w:tcPr>
            <w:tcW w:w="2925" w:type="dxa"/>
            <w:noWrap/>
            <w:vAlign w:val="center"/>
          </w:tcPr>
          <w:p w14:paraId="2A1ED0F4">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聚合危害：</w:t>
            </w:r>
            <w:r>
              <w:rPr>
                <w:rFonts w:hint="eastAsia" w:ascii="宋体" w:hAnsi="宋体" w:eastAsia="宋体" w:cs="宋体"/>
                <w:color w:val="000000" w:themeColor="text1"/>
                <w:sz w:val="21"/>
                <w:szCs w:val="21"/>
                <w14:textFill>
                  <w14:solidFill>
                    <w14:schemeClr w14:val="tx1"/>
                  </w14:solidFill>
                </w14:textFill>
              </w:rPr>
              <w:t>聚合</w:t>
            </w:r>
          </w:p>
        </w:tc>
      </w:tr>
      <w:tr w14:paraId="6F4542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continue"/>
            <w:noWrap/>
            <w:vAlign w:val="center"/>
          </w:tcPr>
          <w:p w14:paraId="20749643">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p>
        </w:tc>
        <w:tc>
          <w:tcPr>
            <w:tcW w:w="2682" w:type="dxa"/>
            <w:noWrap/>
            <w:vAlign w:val="center"/>
          </w:tcPr>
          <w:p w14:paraId="7DC5BC3A">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引燃温度(℃)：305</w:t>
            </w:r>
          </w:p>
        </w:tc>
        <w:tc>
          <w:tcPr>
            <w:tcW w:w="5235" w:type="dxa"/>
            <w:gridSpan w:val="2"/>
            <w:noWrap/>
            <w:vAlign w:val="center"/>
          </w:tcPr>
          <w:p w14:paraId="5C7668F9">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禁忌物：强氧化剂、</w:t>
            </w:r>
            <w:r>
              <w:rPr>
                <w:rFonts w:hint="eastAsia" w:ascii="宋体" w:hAnsi="宋体" w:eastAsia="宋体" w:cs="宋体"/>
                <w:color w:val="000000" w:themeColor="text1"/>
                <w:spacing w:val="-12"/>
                <w:sz w:val="21"/>
                <w:szCs w:val="21"/>
                <w:lang w:eastAsia="zh-CN"/>
                <w14:textFill>
                  <w14:solidFill>
                    <w14:schemeClr w14:val="tx1"/>
                  </w14:solidFill>
                </w14:textFill>
              </w:rPr>
              <w:t>强酸、</w:t>
            </w:r>
            <w:r>
              <w:rPr>
                <w:rFonts w:hint="eastAsia" w:ascii="宋体" w:hAnsi="宋体" w:eastAsia="宋体" w:cs="宋体"/>
                <w:color w:val="000000" w:themeColor="text1"/>
                <w:spacing w:val="-12"/>
                <w:sz w:val="21"/>
                <w:szCs w:val="21"/>
                <w14:textFill>
                  <w14:solidFill>
                    <w14:schemeClr w14:val="tx1"/>
                  </w14:solidFill>
                </w14:textFill>
              </w:rPr>
              <w:t>卤素</w:t>
            </w:r>
          </w:p>
        </w:tc>
      </w:tr>
      <w:tr w14:paraId="10B0859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vMerge w:val="continue"/>
            <w:noWrap/>
            <w:vAlign w:val="center"/>
          </w:tcPr>
          <w:p w14:paraId="1A92418D">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p>
        </w:tc>
        <w:tc>
          <w:tcPr>
            <w:tcW w:w="7917" w:type="dxa"/>
            <w:gridSpan w:val="3"/>
            <w:noWrap/>
            <w:vAlign w:val="center"/>
          </w:tcPr>
          <w:p w14:paraId="2F099612">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险特性：极易燃烧爆炸。与空气混合能形成爆炸性混合物，遇明火、高热能引起燃烧爆炸。与氧化剂接触会猛烈反应。与氟、氯等接触会发生剧烈的化学反应。能与铜、银、汞等的化合物生成爆炸性物质。灭火方法：切断气源。若不能立即切断气源，则不允许熄灭正在燃烧的气体。喷水冷却容器，可能的话将容器从火场移至空旷处。灭火剂：雾状水、泡沫、二氧化碳、干粉。</w:t>
            </w:r>
          </w:p>
        </w:tc>
      </w:tr>
      <w:tr w14:paraId="51094C5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noWrap/>
            <w:vAlign w:val="center"/>
          </w:tcPr>
          <w:p w14:paraId="6F905559">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毒性</w:t>
            </w:r>
          </w:p>
        </w:tc>
        <w:tc>
          <w:tcPr>
            <w:tcW w:w="7917" w:type="dxa"/>
            <w:gridSpan w:val="3"/>
            <w:noWrap/>
            <w:vAlign w:val="center"/>
          </w:tcPr>
          <w:p w14:paraId="66E86459">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接触限值：中国MAC（mg/m3）未制定标准  美国 TVL-TWA ACGIH  窒息性气体。</w:t>
            </w:r>
          </w:p>
          <w:p w14:paraId="713ED509">
            <w:pPr>
              <w:autoSpaceDE w:val="0"/>
              <w:autoSpaceDN w:val="0"/>
              <w:spacing w:line="300" w:lineRule="exact"/>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毒理资料：动物长期吸入非致死性浓度本品，出现血红蛋白、网织细胞、淋巴细胞增加和中性粒细胞减少。尸检有支气管炎、肺炎、肺水肿、肺充血和脂肪浸润。</w:t>
            </w:r>
          </w:p>
        </w:tc>
      </w:tr>
      <w:tr w14:paraId="543F4A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noWrap/>
            <w:vAlign w:val="center"/>
          </w:tcPr>
          <w:p w14:paraId="60980EDE">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对人</w:t>
            </w:r>
          </w:p>
          <w:p w14:paraId="57D25C23">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体危</w:t>
            </w:r>
          </w:p>
          <w:p w14:paraId="7372C7B0">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害</w:t>
            </w:r>
          </w:p>
        </w:tc>
        <w:tc>
          <w:tcPr>
            <w:tcW w:w="7917" w:type="dxa"/>
            <w:gridSpan w:val="3"/>
            <w:noWrap/>
            <w:vAlign w:val="center"/>
          </w:tcPr>
          <w:p w14:paraId="02BD37FD">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侵入途径：吸入。</w:t>
            </w:r>
          </w:p>
          <w:p w14:paraId="226A7B6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健康危害：具有弱麻醉作用。高浓度吸入可引起单纯窒息。急性中毒：暴露于20％浓度时，出现明显缺氧症状；吸入高浓度，初期兴奋、多语、哭笑不安，后出现眩晕、头痛、恶心、呕吐、共济失调、嗜睡；严重者昏迷、紫绀、瞳孔对光反应消失、脉弱而不齐。当混有磷化氢、硫化氢时，毒性增大，应予注意。</w:t>
            </w:r>
          </w:p>
        </w:tc>
      </w:tr>
      <w:tr w14:paraId="2852B2B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noWrap/>
            <w:vAlign w:val="center"/>
          </w:tcPr>
          <w:p w14:paraId="354A8D67">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急救</w:t>
            </w:r>
          </w:p>
        </w:tc>
        <w:tc>
          <w:tcPr>
            <w:tcW w:w="7917" w:type="dxa"/>
            <w:gridSpan w:val="3"/>
            <w:noWrap/>
            <w:vAlign w:val="center"/>
          </w:tcPr>
          <w:p w14:paraId="7CA8927A">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吸入：迅速脱离现场至空气新鲜处。保持呼吸道通畅。如呼吸困难，给输氧。如呼吸停止，立即进行人工呼吸。就医。</w:t>
            </w:r>
          </w:p>
        </w:tc>
      </w:tr>
      <w:tr w14:paraId="459C8AD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noWrap/>
            <w:vAlign w:val="center"/>
          </w:tcPr>
          <w:p w14:paraId="2FC006C5">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防护</w:t>
            </w:r>
          </w:p>
        </w:tc>
        <w:tc>
          <w:tcPr>
            <w:tcW w:w="7917" w:type="dxa"/>
            <w:gridSpan w:val="3"/>
            <w:noWrap/>
            <w:vAlign w:val="center"/>
          </w:tcPr>
          <w:p w14:paraId="4C914E5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工程防护：生产过程密闭，全面通风。</w:t>
            </w:r>
          </w:p>
          <w:p w14:paraId="41923688">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呼吸系统防护：一般不需要特殊防护，但建议特殊情况下，佩带自吸过滤式防毒面具(半面罩)。眼睛防护：一般不需要特殊防护，高浓度接触时可戴化学安全防护眼镜。身体防护：穿防静电工作服。手防护：戴一般作业防护手套。其它：工作现场严禁吸烟。避免长期反复接触。进入罐、限制性空间或其它高浓度区作业，须有人监护。</w:t>
            </w:r>
          </w:p>
        </w:tc>
      </w:tr>
      <w:tr w14:paraId="6662744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noWrap/>
            <w:vAlign w:val="center"/>
          </w:tcPr>
          <w:p w14:paraId="44089B05">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泄漏</w:t>
            </w:r>
          </w:p>
          <w:p w14:paraId="3F15B897">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处理</w:t>
            </w:r>
          </w:p>
        </w:tc>
        <w:tc>
          <w:tcPr>
            <w:tcW w:w="7917" w:type="dxa"/>
            <w:gridSpan w:val="3"/>
            <w:noWrap/>
            <w:vAlign w:val="center"/>
          </w:tcPr>
          <w:p w14:paraId="244E333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迅速撤离泄漏污染区人员至上风处，并进行隔离，严格限制出入。切断火源。建议应急处理人员戴自给正压式呼吸器，穿消防防护服。尽可能切断泄漏源。合理通风，加速扩散。喷雾状水稀释、溶解。构筑围堤或挖坑收容产生的大量废水。如有可能，将漏出气用排风机送至空旷地方或装设适当喷头烧掉。漏气容器要妥善处理，修复、检验后再用。</w:t>
            </w:r>
          </w:p>
        </w:tc>
      </w:tr>
      <w:tr w14:paraId="73C28F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70" w:hRule="atLeast"/>
        </w:trPr>
        <w:tc>
          <w:tcPr>
            <w:tcW w:w="939" w:type="dxa"/>
            <w:noWrap/>
            <w:vAlign w:val="center"/>
          </w:tcPr>
          <w:p w14:paraId="114CC360">
            <w:pPr>
              <w:autoSpaceDE w:val="0"/>
              <w:autoSpaceDN w:val="0"/>
              <w:spacing w:line="300" w:lineRule="exact"/>
              <w:jc w:val="center"/>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贮运</w:t>
            </w:r>
          </w:p>
        </w:tc>
        <w:tc>
          <w:tcPr>
            <w:tcW w:w="7917" w:type="dxa"/>
            <w:gridSpan w:val="3"/>
            <w:noWrap/>
            <w:vAlign w:val="center"/>
          </w:tcPr>
          <w:p w14:paraId="6041CD28">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乙炔的包装法通常是溶解在溶剂及多孔物中，装入钢瓶内。储存于阴凉、通风</w:t>
            </w:r>
            <w:r>
              <w:rPr>
                <w:rFonts w:hint="eastAsia" w:ascii="宋体" w:hAnsi="宋体" w:eastAsia="宋体" w:cs="宋体"/>
                <w:color w:val="000000" w:themeColor="text1"/>
                <w:spacing w:val="-12"/>
                <w:sz w:val="21"/>
                <w:szCs w:val="21"/>
                <w:lang w:eastAsia="zh-CN"/>
                <w14:textFill>
                  <w14:solidFill>
                    <w14:schemeClr w14:val="tx1"/>
                  </w14:solidFill>
                </w14:textFill>
              </w:rPr>
              <w:t>的库房</w:t>
            </w:r>
            <w:r>
              <w:rPr>
                <w:rFonts w:hint="eastAsia" w:ascii="宋体" w:hAnsi="宋体" w:eastAsia="宋体" w:cs="宋体"/>
                <w:color w:val="000000" w:themeColor="text1"/>
                <w:spacing w:val="-12"/>
                <w:sz w:val="21"/>
                <w:szCs w:val="21"/>
                <w14:textFill>
                  <w14:solidFill>
                    <w14:schemeClr w14:val="tx1"/>
                  </w14:solidFill>
                </w14:textFill>
              </w:rPr>
              <w:t>内。</w:t>
            </w:r>
            <w:r>
              <w:rPr>
                <w:rFonts w:hint="eastAsia" w:ascii="宋体" w:hAnsi="宋体" w:eastAsia="宋体" w:cs="宋体"/>
                <w:color w:val="000000" w:themeColor="text1"/>
                <w:spacing w:val="-12"/>
                <w:sz w:val="21"/>
                <w:szCs w:val="21"/>
                <w:lang w:eastAsia="zh-CN"/>
                <w14:textFill>
                  <w14:solidFill>
                    <w14:schemeClr w14:val="tx1"/>
                  </w14:solidFill>
                </w14:textFill>
              </w:rPr>
              <w:t>库房室内</w:t>
            </w:r>
            <w:r>
              <w:rPr>
                <w:rFonts w:hint="eastAsia" w:ascii="宋体" w:hAnsi="宋体" w:eastAsia="宋体" w:cs="宋体"/>
                <w:color w:val="000000" w:themeColor="text1"/>
                <w:spacing w:val="-12"/>
                <w:sz w:val="21"/>
                <w:szCs w:val="21"/>
                <w14:textFill>
                  <w14:solidFill>
                    <w14:schemeClr w14:val="tx1"/>
                  </w14:solidFill>
                </w14:textFill>
              </w:rPr>
              <w:t>温度不宜超过30℃。远离火种、热源，防止阳光直射。应与氧气、压缩气体、卤素（氟、氯、溴）、氧化剂等分开存放。储存间内的照明、通风等设施应采用防爆型，开关设在</w:t>
            </w:r>
            <w:r>
              <w:rPr>
                <w:rFonts w:hint="eastAsia" w:ascii="宋体" w:hAnsi="宋体" w:eastAsia="宋体" w:cs="宋体"/>
                <w:color w:val="000000" w:themeColor="text1"/>
                <w:spacing w:val="-12"/>
                <w:sz w:val="21"/>
                <w:szCs w:val="21"/>
                <w:lang w:eastAsia="zh-CN"/>
                <w14:textFill>
                  <w14:solidFill>
                    <w14:schemeClr w14:val="tx1"/>
                  </w14:solidFill>
                </w14:textFill>
              </w:rPr>
              <w:t>库房</w:t>
            </w:r>
            <w:r>
              <w:rPr>
                <w:rFonts w:hint="eastAsia" w:ascii="宋体" w:hAnsi="宋体" w:eastAsia="宋体" w:cs="宋体"/>
                <w:color w:val="000000" w:themeColor="text1"/>
                <w:spacing w:val="-12"/>
                <w:sz w:val="21"/>
                <w:szCs w:val="21"/>
                <w14:textFill>
                  <w14:solidFill>
                    <w14:schemeClr w14:val="tx1"/>
                  </w14:solidFill>
                </w14:textFill>
              </w:rPr>
              <w:t>外。配备相应品种和数量的消防器材。禁止使用易产生火花的机械设备和工具。验收时要注意品名，注意验瓶日期，先进仓的先发用。搬运时轻装轻卸，防止钢瓶及附件破损。</w:t>
            </w:r>
          </w:p>
        </w:tc>
      </w:tr>
    </w:tbl>
    <w:p w14:paraId="159F78E9">
      <w:pPr>
        <w:keepNext/>
        <w:keepLines/>
        <w:pageBreakBefore w:val="0"/>
        <w:widowControl w:val="0"/>
        <w:tabs>
          <w:tab w:val="left" w:pos="2924"/>
          <w:tab w:val="center" w:pos="4522"/>
        </w:tabs>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lang w:val="zh-CN"/>
          <w14:textFill>
            <w14:solidFill>
              <w14:schemeClr w14:val="tx1"/>
            </w14:solidFill>
          </w14:textFill>
        </w:rPr>
        <w:t>表</w:t>
      </w:r>
      <w:r>
        <w:rPr>
          <w:rFonts w:hint="default" w:ascii="Times New Roman" w:hAnsi="Times New Roman" w:cs="Times New Roman"/>
          <w:b/>
          <w:bCs/>
          <w:color w:val="000000" w:themeColor="text1"/>
          <w14:textFill>
            <w14:solidFill>
              <w14:schemeClr w14:val="tx1"/>
            </w14:solidFill>
          </w14:textFill>
        </w:rPr>
        <w:t>3-</w:t>
      </w:r>
      <w:r>
        <w:rPr>
          <w:rFonts w:hint="default" w:ascii="Times New Roman" w:hAnsi="Times New Roman" w:cs="Times New Roman"/>
          <w:b/>
          <w:bCs/>
          <w:color w:val="000000" w:themeColor="text1"/>
          <w:lang w:val="en-US" w:eastAsia="zh-CN"/>
          <w14:textFill>
            <w14:solidFill>
              <w14:schemeClr w14:val="tx1"/>
            </w14:solidFill>
          </w14:textFill>
        </w:rPr>
        <w:t>4</w:t>
      </w:r>
      <w:r>
        <w:rPr>
          <w:rFonts w:hint="default" w:ascii="Times New Roman" w:hAnsi="Times New Roman" w:cs="Times New Roman"/>
          <w:b/>
          <w:bCs/>
          <w:color w:val="000000" w:themeColor="text1"/>
          <w14:textFill>
            <w14:solidFill>
              <w14:schemeClr w14:val="tx1"/>
            </w14:solidFill>
          </w14:textFill>
        </w:rPr>
        <w:t>氧气</w:t>
      </w:r>
      <w:r>
        <w:rPr>
          <w:rFonts w:hint="default" w:ascii="Times New Roman" w:hAnsi="Times New Roman" w:cs="Times New Roman"/>
          <w:b/>
          <w:bCs/>
          <w:color w:val="000000" w:themeColor="text1"/>
          <w:lang w:val="zh-CN"/>
          <w14:textFill>
            <w14:solidFill>
              <w14:schemeClr w14:val="tx1"/>
            </w14:solidFill>
          </w14:textFill>
        </w:rPr>
        <w:t>的理化特性表</w:t>
      </w:r>
    </w:p>
    <w:tbl>
      <w:tblPr>
        <w:tblStyle w:val="51"/>
        <w:tblW w:w="919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28" w:type="dxa"/>
          <w:left w:w="57" w:type="dxa"/>
          <w:bottom w:w="28" w:type="dxa"/>
          <w:right w:w="28" w:type="dxa"/>
        </w:tblCellMar>
      </w:tblPr>
      <w:tblGrid>
        <w:gridCol w:w="716"/>
        <w:gridCol w:w="2785"/>
        <w:gridCol w:w="2528"/>
        <w:gridCol w:w="3166"/>
      </w:tblGrid>
      <w:tr w14:paraId="6B4A484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61" w:hRule="atLeast"/>
          <w:jc w:val="center"/>
        </w:trPr>
        <w:tc>
          <w:tcPr>
            <w:tcW w:w="716" w:type="dxa"/>
            <w:vMerge w:val="restart"/>
            <w:noWrap/>
            <w:vAlign w:val="center"/>
          </w:tcPr>
          <w:p w14:paraId="489DA2E5">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标识</w:t>
            </w:r>
          </w:p>
        </w:tc>
        <w:tc>
          <w:tcPr>
            <w:tcW w:w="2785" w:type="dxa"/>
            <w:noWrap/>
            <w:vAlign w:val="center"/>
          </w:tcPr>
          <w:p w14:paraId="53747C88">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中文名:</w:t>
            </w:r>
            <w:r>
              <w:rPr>
                <w:rFonts w:hint="eastAsia" w:ascii="宋体" w:hAnsi="宋体" w:eastAsia="宋体" w:cs="宋体"/>
                <w:color w:val="000000" w:themeColor="text1"/>
                <w:sz w:val="21"/>
                <w:szCs w:val="21"/>
                <w14:textFill>
                  <w14:solidFill>
                    <w14:schemeClr w14:val="tx1"/>
                  </w14:solidFill>
                </w14:textFill>
              </w:rPr>
              <w:t xml:space="preserve"> 氧；氧气</w:t>
            </w:r>
          </w:p>
        </w:tc>
        <w:tc>
          <w:tcPr>
            <w:tcW w:w="5694" w:type="dxa"/>
            <w:gridSpan w:val="2"/>
            <w:noWrap/>
            <w:vAlign w:val="center"/>
          </w:tcPr>
          <w:p w14:paraId="6FE38225">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英文名：oxygen</w:t>
            </w:r>
          </w:p>
        </w:tc>
      </w:tr>
      <w:tr w14:paraId="4D9C5AB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24" w:hRule="atLeast"/>
          <w:jc w:val="center"/>
        </w:trPr>
        <w:tc>
          <w:tcPr>
            <w:tcW w:w="716" w:type="dxa"/>
            <w:vMerge w:val="continue"/>
            <w:noWrap/>
            <w:vAlign w:val="center"/>
          </w:tcPr>
          <w:p w14:paraId="53756107">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p>
        </w:tc>
        <w:tc>
          <w:tcPr>
            <w:tcW w:w="2785" w:type="dxa"/>
            <w:noWrap/>
            <w:vAlign w:val="center"/>
          </w:tcPr>
          <w:p w14:paraId="238CB47C">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分子式：O</w:t>
            </w:r>
            <w:r>
              <w:rPr>
                <w:rFonts w:hint="eastAsia" w:ascii="宋体" w:hAnsi="宋体" w:eastAsia="宋体" w:cs="宋体"/>
                <w:color w:val="000000" w:themeColor="text1"/>
                <w:spacing w:val="-12"/>
                <w:sz w:val="21"/>
                <w:szCs w:val="21"/>
                <w:vertAlign w:val="subscript"/>
                <w14:textFill>
                  <w14:solidFill>
                    <w14:schemeClr w14:val="tx1"/>
                  </w14:solidFill>
                </w14:textFill>
              </w:rPr>
              <w:t>2</w:t>
            </w:r>
          </w:p>
        </w:tc>
        <w:tc>
          <w:tcPr>
            <w:tcW w:w="2528" w:type="dxa"/>
            <w:noWrap/>
            <w:vAlign w:val="center"/>
          </w:tcPr>
          <w:p w14:paraId="6B669E77">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分子量：32.00</w:t>
            </w:r>
          </w:p>
        </w:tc>
        <w:tc>
          <w:tcPr>
            <w:tcW w:w="3166" w:type="dxa"/>
            <w:noWrap/>
            <w:vAlign w:val="center"/>
          </w:tcPr>
          <w:p w14:paraId="2AB11008">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UN编号：22001</w:t>
            </w:r>
          </w:p>
        </w:tc>
      </w:tr>
      <w:tr w14:paraId="6E51352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72" w:hRule="atLeast"/>
          <w:jc w:val="center"/>
        </w:trPr>
        <w:tc>
          <w:tcPr>
            <w:tcW w:w="716" w:type="dxa"/>
            <w:vMerge w:val="continue"/>
            <w:noWrap/>
            <w:vAlign w:val="center"/>
          </w:tcPr>
          <w:p w14:paraId="25EF766F">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p>
        </w:tc>
        <w:tc>
          <w:tcPr>
            <w:tcW w:w="2785" w:type="dxa"/>
            <w:noWrap/>
            <w:vAlign w:val="center"/>
          </w:tcPr>
          <w:p w14:paraId="5C2D4A7F">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危规号：22002（液氧）</w:t>
            </w:r>
          </w:p>
        </w:tc>
        <w:tc>
          <w:tcPr>
            <w:tcW w:w="2528" w:type="dxa"/>
            <w:noWrap/>
            <w:vAlign w:val="center"/>
          </w:tcPr>
          <w:p w14:paraId="2AAF4EFA">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RTECS号：/</w:t>
            </w:r>
          </w:p>
        </w:tc>
        <w:tc>
          <w:tcPr>
            <w:tcW w:w="3166" w:type="dxa"/>
            <w:noWrap/>
            <w:vAlign w:val="center"/>
          </w:tcPr>
          <w:p w14:paraId="36C541EC">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CAS号：7782-44-7</w:t>
            </w:r>
          </w:p>
        </w:tc>
      </w:tr>
      <w:tr w14:paraId="6F3594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62" w:hRule="atLeast"/>
          <w:jc w:val="center"/>
        </w:trPr>
        <w:tc>
          <w:tcPr>
            <w:tcW w:w="716" w:type="dxa"/>
            <w:vMerge w:val="restart"/>
            <w:noWrap/>
            <w:vAlign w:val="center"/>
          </w:tcPr>
          <w:p w14:paraId="4290832A">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理化</w:t>
            </w:r>
          </w:p>
          <w:p w14:paraId="0EC445BE">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性质</w:t>
            </w:r>
          </w:p>
        </w:tc>
        <w:tc>
          <w:tcPr>
            <w:tcW w:w="8479" w:type="dxa"/>
            <w:gridSpan w:val="3"/>
            <w:noWrap/>
            <w:vAlign w:val="center"/>
          </w:tcPr>
          <w:p w14:paraId="27E8DB35">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性状：</w:t>
            </w:r>
            <w:r>
              <w:rPr>
                <w:rFonts w:hint="eastAsia" w:ascii="宋体" w:hAnsi="宋体" w:eastAsia="宋体" w:cs="宋体"/>
                <w:color w:val="000000" w:themeColor="text1"/>
                <w:sz w:val="21"/>
                <w:szCs w:val="21"/>
                <w14:textFill>
                  <w14:solidFill>
                    <w14:schemeClr w14:val="tx1"/>
                  </w14:solidFill>
                </w14:textFill>
              </w:rPr>
              <w:t xml:space="preserve"> 无色无臭气体</w:t>
            </w:r>
          </w:p>
        </w:tc>
      </w:tr>
      <w:tr w14:paraId="2FDDC34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23" w:hRule="atLeast"/>
          <w:jc w:val="center"/>
        </w:trPr>
        <w:tc>
          <w:tcPr>
            <w:tcW w:w="716" w:type="dxa"/>
            <w:vMerge w:val="continue"/>
            <w:noWrap/>
            <w:vAlign w:val="center"/>
          </w:tcPr>
          <w:p w14:paraId="50AA9587">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p>
        </w:tc>
        <w:tc>
          <w:tcPr>
            <w:tcW w:w="2785" w:type="dxa"/>
            <w:noWrap/>
            <w:vAlign w:val="center"/>
          </w:tcPr>
          <w:p w14:paraId="339895C2">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熔点(℃)：-218.8</w:t>
            </w:r>
          </w:p>
        </w:tc>
        <w:tc>
          <w:tcPr>
            <w:tcW w:w="5694" w:type="dxa"/>
            <w:gridSpan w:val="2"/>
            <w:noWrap/>
            <w:vAlign w:val="center"/>
          </w:tcPr>
          <w:p w14:paraId="3DAB20C4">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溶解性： 溶于水、乙醇</w:t>
            </w:r>
          </w:p>
        </w:tc>
      </w:tr>
      <w:tr w14:paraId="3622F6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57" w:hRule="atLeast"/>
          <w:jc w:val="center"/>
        </w:trPr>
        <w:tc>
          <w:tcPr>
            <w:tcW w:w="716" w:type="dxa"/>
            <w:vMerge w:val="continue"/>
            <w:noWrap/>
            <w:vAlign w:val="center"/>
          </w:tcPr>
          <w:p w14:paraId="0647CBFC">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p>
        </w:tc>
        <w:tc>
          <w:tcPr>
            <w:tcW w:w="2785" w:type="dxa"/>
            <w:noWrap/>
            <w:vAlign w:val="center"/>
          </w:tcPr>
          <w:p w14:paraId="09B36EEB">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沸点(℃)：-183.1</w:t>
            </w:r>
          </w:p>
        </w:tc>
        <w:tc>
          <w:tcPr>
            <w:tcW w:w="5694" w:type="dxa"/>
            <w:gridSpan w:val="2"/>
            <w:noWrap/>
            <w:vAlign w:val="center"/>
          </w:tcPr>
          <w:p w14:paraId="2413F4C2">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饱和蒸气压(kPa)：506.62kPa(-164℃)</w:t>
            </w:r>
          </w:p>
        </w:tc>
      </w:tr>
      <w:tr w14:paraId="0E07E73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47" w:hRule="atLeast"/>
          <w:jc w:val="center"/>
        </w:trPr>
        <w:tc>
          <w:tcPr>
            <w:tcW w:w="716" w:type="dxa"/>
            <w:vMerge w:val="continue"/>
            <w:noWrap/>
            <w:vAlign w:val="center"/>
          </w:tcPr>
          <w:p w14:paraId="0FBC6F94">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p>
        </w:tc>
        <w:tc>
          <w:tcPr>
            <w:tcW w:w="2785" w:type="dxa"/>
            <w:noWrap/>
            <w:vAlign w:val="center"/>
          </w:tcPr>
          <w:p w14:paraId="121B4EBC">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临界温度(℃)：</w:t>
            </w:r>
            <w:r>
              <w:rPr>
                <w:rFonts w:hint="eastAsia" w:ascii="宋体" w:hAnsi="宋体" w:eastAsia="宋体" w:cs="宋体"/>
                <w:color w:val="000000" w:themeColor="text1"/>
                <w:sz w:val="21"/>
                <w:szCs w:val="21"/>
                <w14:textFill>
                  <w14:solidFill>
                    <w14:schemeClr w14:val="tx1"/>
                  </w14:solidFill>
                </w14:textFill>
              </w:rPr>
              <w:t>－118.4</w:t>
            </w:r>
          </w:p>
        </w:tc>
        <w:tc>
          <w:tcPr>
            <w:tcW w:w="5694" w:type="dxa"/>
            <w:gridSpan w:val="2"/>
            <w:noWrap/>
            <w:vAlign w:val="center"/>
          </w:tcPr>
          <w:p w14:paraId="4D18D96E">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相对密度(水=1)：1.14</w:t>
            </w:r>
          </w:p>
        </w:tc>
      </w:tr>
      <w:tr w14:paraId="68AA94A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47" w:hRule="atLeast"/>
          <w:jc w:val="center"/>
        </w:trPr>
        <w:tc>
          <w:tcPr>
            <w:tcW w:w="716" w:type="dxa"/>
            <w:vMerge w:val="continue"/>
            <w:noWrap/>
            <w:vAlign w:val="center"/>
          </w:tcPr>
          <w:p w14:paraId="2B4F6C6E">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p>
        </w:tc>
        <w:tc>
          <w:tcPr>
            <w:tcW w:w="2785" w:type="dxa"/>
            <w:noWrap/>
            <w:vAlign w:val="center"/>
          </w:tcPr>
          <w:p w14:paraId="7D3BCD22">
            <w:pPr>
              <w:autoSpaceDE w:val="0"/>
              <w:autoSpaceDN w:val="0"/>
              <w:rPr>
                <w:rFonts w:hint="eastAsia" w:ascii="宋体" w:hAnsi="宋体" w:eastAsia="宋体" w:cs="宋体"/>
                <w:color w:val="000000" w:themeColor="text1"/>
                <w:spacing w:val="-12"/>
                <w:sz w:val="21"/>
                <w:szCs w:val="21"/>
                <w:lang w:val="en-US" w:eastAsia="zh-CN"/>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临界压力(MPa)：</w:t>
            </w:r>
            <w:r>
              <w:rPr>
                <w:rFonts w:hint="eastAsia" w:ascii="宋体" w:hAnsi="宋体" w:eastAsia="宋体" w:cs="宋体"/>
                <w:color w:val="000000" w:themeColor="text1"/>
                <w:spacing w:val="-12"/>
                <w:sz w:val="21"/>
                <w:szCs w:val="21"/>
                <w:lang w:val="en-US" w:eastAsia="zh-CN"/>
                <w14:textFill>
                  <w14:solidFill>
                    <w14:schemeClr w14:val="tx1"/>
                  </w14:solidFill>
                </w14:textFill>
              </w:rPr>
              <w:t>5.08</w:t>
            </w:r>
          </w:p>
        </w:tc>
        <w:tc>
          <w:tcPr>
            <w:tcW w:w="5694" w:type="dxa"/>
            <w:gridSpan w:val="2"/>
            <w:noWrap/>
            <w:vAlign w:val="center"/>
          </w:tcPr>
          <w:p w14:paraId="2AF26BED">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相对密度(空气=1)：1.43</w:t>
            </w:r>
          </w:p>
        </w:tc>
      </w:tr>
      <w:tr w14:paraId="1EBAA48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99" w:hRule="atLeast"/>
          <w:jc w:val="center"/>
        </w:trPr>
        <w:tc>
          <w:tcPr>
            <w:tcW w:w="716" w:type="dxa"/>
            <w:vMerge w:val="restart"/>
            <w:noWrap/>
            <w:vAlign w:val="center"/>
          </w:tcPr>
          <w:p w14:paraId="5F113375">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燃烧</w:t>
            </w:r>
          </w:p>
          <w:p w14:paraId="5A1E436D">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爆炸</w:t>
            </w:r>
          </w:p>
          <w:p w14:paraId="5EB40027">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危险</w:t>
            </w:r>
          </w:p>
          <w:p w14:paraId="2B9BE704">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w:t>
            </w:r>
          </w:p>
        </w:tc>
        <w:tc>
          <w:tcPr>
            <w:tcW w:w="2785" w:type="dxa"/>
            <w:noWrap/>
            <w:vAlign w:val="center"/>
          </w:tcPr>
          <w:p w14:paraId="068C7D67">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 xml:space="preserve">燃烧性：不燃气体 </w:t>
            </w:r>
          </w:p>
        </w:tc>
        <w:tc>
          <w:tcPr>
            <w:tcW w:w="5694" w:type="dxa"/>
            <w:gridSpan w:val="2"/>
            <w:noWrap/>
            <w:vAlign w:val="center"/>
          </w:tcPr>
          <w:p w14:paraId="77B2F999">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燃烧分解产物：</w:t>
            </w:r>
            <w:r>
              <w:rPr>
                <w:rFonts w:hint="eastAsia" w:ascii="宋体" w:hAnsi="宋体" w:eastAsia="宋体" w:cs="宋体"/>
                <w:color w:val="000000" w:themeColor="text1"/>
                <w:sz w:val="21"/>
                <w:szCs w:val="21"/>
                <w14:textFill>
                  <w14:solidFill>
                    <w14:schemeClr w14:val="tx1"/>
                  </w14:solidFill>
                </w14:textFill>
              </w:rPr>
              <w:t>无资料</w:t>
            </w:r>
          </w:p>
        </w:tc>
      </w:tr>
      <w:tr w14:paraId="767265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46" w:hRule="atLeast"/>
          <w:jc w:val="center"/>
        </w:trPr>
        <w:tc>
          <w:tcPr>
            <w:tcW w:w="716" w:type="dxa"/>
            <w:vMerge w:val="continue"/>
            <w:noWrap/>
            <w:vAlign w:val="center"/>
          </w:tcPr>
          <w:p w14:paraId="4A3CF26C">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p>
        </w:tc>
        <w:tc>
          <w:tcPr>
            <w:tcW w:w="2785" w:type="dxa"/>
            <w:noWrap/>
            <w:vAlign w:val="center"/>
          </w:tcPr>
          <w:p w14:paraId="27E36BB7">
            <w:pPr>
              <w:autoSpaceDE w:val="0"/>
              <w:autoSpaceDN w:val="0"/>
              <w:rPr>
                <w:rFonts w:hint="eastAsia" w:ascii="宋体" w:hAnsi="宋体" w:eastAsia="宋体" w:cs="宋体"/>
                <w:color w:val="000000" w:themeColor="text1"/>
                <w:spacing w:val="-12"/>
                <w:sz w:val="21"/>
                <w:szCs w:val="21"/>
                <w:lang w:eastAsia="zh-CN"/>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闪点(℃)：</w:t>
            </w:r>
            <w:r>
              <w:rPr>
                <w:rFonts w:hint="eastAsia" w:ascii="宋体" w:hAnsi="宋体" w:eastAsia="宋体" w:cs="宋体"/>
                <w:color w:val="000000" w:themeColor="text1"/>
                <w:sz w:val="21"/>
                <w:szCs w:val="21"/>
                <w:lang w:eastAsia="zh-CN"/>
                <w14:textFill>
                  <w14:solidFill>
                    <w14:schemeClr w14:val="tx1"/>
                  </w14:solidFill>
                </w14:textFill>
              </w:rPr>
              <w:t>无意义</w:t>
            </w:r>
          </w:p>
        </w:tc>
        <w:tc>
          <w:tcPr>
            <w:tcW w:w="5694" w:type="dxa"/>
            <w:gridSpan w:val="2"/>
            <w:noWrap/>
            <w:vAlign w:val="center"/>
          </w:tcPr>
          <w:p w14:paraId="39C7D7B0">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最小引燃能量(MJ)：/</w:t>
            </w:r>
          </w:p>
        </w:tc>
      </w:tr>
      <w:tr w14:paraId="5BC0CB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95" w:hRule="atLeast"/>
          <w:jc w:val="center"/>
        </w:trPr>
        <w:tc>
          <w:tcPr>
            <w:tcW w:w="716" w:type="dxa"/>
            <w:vMerge w:val="continue"/>
            <w:noWrap/>
            <w:vAlign w:val="center"/>
          </w:tcPr>
          <w:p w14:paraId="696B4867">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p>
        </w:tc>
        <w:tc>
          <w:tcPr>
            <w:tcW w:w="2785" w:type="dxa"/>
            <w:noWrap/>
            <w:vAlign w:val="center"/>
          </w:tcPr>
          <w:p w14:paraId="52E4689B">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爆炸极限(V％)：</w:t>
            </w:r>
            <w:r>
              <w:rPr>
                <w:rFonts w:hint="eastAsia" w:ascii="宋体" w:hAnsi="宋体" w:eastAsia="宋体" w:cs="宋体"/>
                <w:color w:val="000000" w:themeColor="text1"/>
                <w:sz w:val="21"/>
                <w:szCs w:val="21"/>
                <w14:textFill>
                  <w14:solidFill>
                    <w14:schemeClr w14:val="tx1"/>
                  </w14:solidFill>
                </w14:textFill>
              </w:rPr>
              <w:t>无资料</w:t>
            </w:r>
          </w:p>
        </w:tc>
        <w:tc>
          <w:tcPr>
            <w:tcW w:w="2528" w:type="dxa"/>
            <w:noWrap/>
            <w:vAlign w:val="center"/>
          </w:tcPr>
          <w:p w14:paraId="6C4D0FD1">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稳定性：稳定</w:t>
            </w:r>
          </w:p>
        </w:tc>
        <w:tc>
          <w:tcPr>
            <w:tcW w:w="3166" w:type="dxa"/>
            <w:noWrap/>
            <w:vAlign w:val="center"/>
          </w:tcPr>
          <w:p w14:paraId="1EBA3A86">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 xml:space="preserve">聚合危害： </w:t>
            </w:r>
            <w:r>
              <w:rPr>
                <w:rFonts w:hint="eastAsia" w:ascii="宋体" w:hAnsi="宋体" w:eastAsia="宋体" w:cs="宋体"/>
                <w:color w:val="000000" w:themeColor="text1"/>
                <w:sz w:val="21"/>
                <w:szCs w:val="21"/>
                <w14:textFill>
                  <w14:solidFill>
                    <w14:schemeClr w14:val="tx1"/>
                  </w14:solidFill>
                </w14:textFill>
              </w:rPr>
              <w:t>不聚合</w:t>
            </w:r>
          </w:p>
        </w:tc>
      </w:tr>
      <w:tr w14:paraId="510D71B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185" w:hRule="atLeast"/>
          <w:jc w:val="center"/>
        </w:trPr>
        <w:tc>
          <w:tcPr>
            <w:tcW w:w="716" w:type="dxa"/>
            <w:vMerge w:val="continue"/>
            <w:noWrap/>
            <w:vAlign w:val="center"/>
          </w:tcPr>
          <w:p w14:paraId="788F922E">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p>
        </w:tc>
        <w:tc>
          <w:tcPr>
            <w:tcW w:w="2785" w:type="dxa"/>
            <w:noWrap/>
            <w:vAlign w:val="center"/>
          </w:tcPr>
          <w:p w14:paraId="02001465">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自燃温度(℃)：/</w:t>
            </w:r>
          </w:p>
        </w:tc>
        <w:tc>
          <w:tcPr>
            <w:tcW w:w="5694" w:type="dxa"/>
            <w:gridSpan w:val="2"/>
            <w:noWrap/>
            <w:vAlign w:val="center"/>
          </w:tcPr>
          <w:p w14:paraId="7D1DB6B6">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禁忌物：易燃或可燃物，活性金属粉末、乙炔</w:t>
            </w:r>
          </w:p>
        </w:tc>
      </w:tr>
      <w:tr w14:paraId="3A9A5D8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340" w:hRule="atLeast"/>
          <w:jc w:val="center"/>
        </w:trPr>
        <w:tc>
          <w:tcPr>
            <w:tcW w:w="716" w:type="dxa"/>
            <w:vMerge w:val="continue"/>
            <w:noWrap/>
            <w:vAlign w:val="center"/>
          </w:tcPr>
          <w:p w14:paraId="1C3BAAE3">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p>
        </w:tc>
        <w:tc>
          <w:tcPr>
            <w:tcW w:w="8479" w:type="dxa"/>
            <w:gridSpan w:val="3"/>
            <w:noWrap/>
            <w:vAlign w:val="center"/>
          </w:tcPr>
          <w:p w14:paraId="0A4D83C6">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危险特性：是易燃物、可燃物燃烧爆炸的基本要素之一，能氧化大多数活性物质。与易燃物(如乙炔、甲烷等)形成有爆炸性的混合物。</w:t>
            </w:r>
          </w:p>
          <w:p w14:paraId="7C7AA0FB">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灭火方法：用水保持容器冷却，以防受热爆炸，急剧助长火势。迅速切断气源，用水喷淋保护切断气源的人员，然后根据着火原因选择适当灭火剂灭火。</w:t>
            </w:r>
          </w:p>
        </w:tc>
      </w:tr>
      <w:tr w14:paraId="4CDB32C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340" w:hRule="atLeast"/>
          <w:jc w:val="center"/>
        </w:trPr>
        <w:tc>
          <w:tcPr>
            <w:tcW w:w="716" w:type="dxa"/>
            <w:noWrap/>
            <w:vAlign w:val="center"/>
          </w:tcPr>
          <w:p w14:paraId="45D19054">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毒性</w:t>
            </w:r>
          </w:p>
        </w:tc>
        <w:tc>
          <w:tcPr>
            <w:tcW w:w="8479" w:type="dxa"/>
            <w:gridSpan w:val="3"/>
            <w:noWrap/>
            <w:vAlign w:val="center"/>
          </w:tcPr>
          <w:p w14:paraId="31DC9D92">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LD</w:t>
            </w:r>
            <w:r>
              <w:rPr>
                <w:rFonts w:hint="eastAsia" w:ascii="宋体" w:hAnsi="宋体" w:eastAsia="宋体" w:cs="宋体"/>
                <w:color w:val="000000" w:themeColor="text1"/>
                <w:sz w:val="21"/>
                <w:szCs w:val="21"/>
                <w:vertAlign w:val="subscript"/>
                <w14:textFill>
                  <w14:solidFill>
                    <w14:schemeClr w14:val="tx1"/>
                  </w14:solidFill>
                </w14:textFill>
              </w:rPr>
              <w:t>50</w:t>
            </w:r>
            <w:r>
              <w:rPr>
                <w:rFonts w:hint="eastAsia" w:ascii="宋体" w:hAnsi="宋体" w:eastAsia="宋体" w:cs="宋体"/>
                <w:color w:val="000000" w:themeColor="text1"/>
                <w:sz w:val="21"/>
                <w:szCs w:val="21"/>
                <w14:textFill>
                  <w14:solidFill>
                    <w14:schemeClr w14:val="tx1"/>
                  </w14:solidFill>
                </w14:textFill>
              </w:rPr>
              <w:t>：/；LC</w:t>
            </w:r>
            <w:r>
              <w:rPr>
                <w:rFonts w:hint="eastAsia" w:ascii="宋体" w:hAnsi="宋体" w:eastAsia="宋体" w:cs="宋体"/>
                <w:color w:val="000000" w:themeColor="text1"/>
                <w:sz w:val="21"/>
                <w:szCs w:val="21"/>
                <w:vertAlign w:val="subscript"/>
                <w14:textFill>
                  <w14:solidFill>
                    <w14:schemeClr w14:val="tx1"/>
                  </w14:solidFill>
                </w14:textFill>
              </w:rPr>
              <w:t>50</w:t>
            </w:r>
            <w:r>
              <w:rPr>
                <w:rFonts w:hint="eastAsia" w:ascii="宋体" w:hAnsi="宋体" w:eastAsia="宋体" w:cs="宋体"/>
                <w:color w:val="000000" w:themeColor="text1"/>
                <w:sz w:val="21"/>
                <w:szCs w:val="21"/>
                <w14:textFill>
                  <w14:solidFill>
                    <w14:schemeClr w14:val="tx1"/>
                  </w14:solidFill>
                </w14:textFill>
              </w:rPr>
              <w:t>：/</w:t>
            </w:r>
          </w:p>
        </w:tc>
      </w:tr>
      <w:tr w14:paraId="664ACEC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340" w:hRule="atLeast"/>
          <w:jc w:val="center"/>
        </w:trPr>
        <w:tc>
          <w:tcPr>
            <w:tcW w:w="716" w:type="dxa"/>
            <w:noWrap/>
            <w:vAlign w:val="center"/>
          </w:tcPr>
          <w:p w14:paraId="0F02EF61">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对人</w:t>
            </w:r>
          </w:p>
          <w:p w14:paraId="57C8BD98">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体危</w:t>
            </w:r>
          </w:p>
          <w:p w14:paraId="13A35DAE">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害</w:t>
            </w:r>
          </w:p>
        </w:tc>
        <w:tc>
          <w:tcPr>
            <w:tcW w:w="8479" w:type="dxa"/>
            <w:gridSpan w:val="3"/>
            <w:noWrap/>
            <w:vAlign w:val="center"/>
          </w:tcPr>
          <w:p w14:paraId="4FA9DF78">
            <w:pPr>
              <w:spacing w:line="340" w:lineRule="atLeas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侵入途径：吸入。</w:t>
            </w:r>
          </w:p>
          <w:p w14:paraId="7C171033">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常压下，当氧的浓度超过40%时，有可能发生氧中毒。吸入40%-60%的氧时，出现胸骨后不适感、轻咳，进而胸闷、胸骨后烧灼感和呼吸困难，咳嗽加剧；严重时可发生肺水肿，甚至出现呼吸窘迫综合征。吸入氧浓度在80%以上时，出现面部肌肉抽动、面色苍白、眩晕、心动过速、虚脱，继而全身强直性抽搐、昏迷、呼吸衰竭而死亡。长期处于氧分压为60～100kPa(相当于吸入氧浓度40%左右)的条件下可发生眼损害严重者可失明。</w:t>
            </w:r>
          </w:p>
        </w:tc>
      </w:tr>
      <w:tr w14:paraId="6A902DE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340" w:hRule="atLeast"/>
          <w:jc w:val="center"/>
        </w:trPr>
        <w:tc>
          <w:tcPr>
            <w:tcW w:w="716" w:type="dxa"/>
            <w:noWrap/>
            <w:vAlign w:val="center"/>
          </w:tcPr>
          <w:p w14:paraId="3CA94B4F">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急救</w:t>
            </w:r>
          </w:p>
        </w:tc>
        <w:tc>
          <w:tcPr>
            <w:tcW w:w="8479" w:type="dxa"/>
            <w:gridSpan w:val="3"/>
            <w:noWrap/>
            <w:vAlign w:val="center"/>
          </w:tcPr>
          <w:p w14:paraId="76BB7008">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吸入：迅速脱离现场至空气新鲜处。保持呼吸道通畅。如呼吸停止，立即进行人工呼吸。就医。</w:t>
            </w:r>
          </w:p>
        </w:tc>
      </w:tr>
      <w:tr w14:paraId="317CE6F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340" w:hRule="atLeast"/>
          <w:jc w:val="center"/>
        </w:trPr>
        <w:tc>
          <w:tcPr>
            <w:tcW w:w="716" w:type="dxa"/>
            <w:noWrap/>
            <w:vAlign w:val="center"/>
          </w:tcPr>
          <w:p w14:paraId="1D9E88B5">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防护</w:t>
            </w:r>
          </w:p>
        </w:tc>
        <w:tc>
          <w:tcPr>
            <w:tcW w:w="8479" w:type="dxa"/>
            <w:gridSpan w:val="3"/>
            <w:noWrap/>
            <w:vAlign w:val="center"/>
          </w:tcPr>
          <w:p w14:paraId="74B61702">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工程防护：密闭操作。提供良好的自然通风条件。</w:t>
            </w:r>
          </w:p>
          <w:p w14:paraId="74588695">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呼吸系统防护：一般不需特殊防护。 眼睛防护：一般不需特殊防护。身体防护：穿一般作业工作服。手防护：戴一般作业防护手套。其它：避免高浓度吸入。</w:t>
            </w:r>
          </w:p>
        </w:tc>
      </w:tr>
      <w:tr w14:paraId="16678C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340" w:hRule="atLeast"/>
          <w:jc w:val="center"/>
        </w:trPr>
        <w:tc>
          <w:tcPr>
            <w:tcW w:w="716" w:type="dxa"/>
            <w:noWrap/>
            <w:vAlign w:val="center"/>
          </w:tcPr>
          <w:p w14:paraId="26ABC761">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泄漏</w:t>
            </w:r>
          </w:p>
          <w:p w14:paraId="09A6447B">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处理</w:t>
            </w:r>
          </w:p>
        </w:tc>
        <w:tc>
          <w:tcPr>
            <w:tcW w:w="8479" w:type="dxa"/>
            <w:gridSpan w:val="3"/>
            <w:noWrap/>
            <w:vAlign w:val="center"/>
          </w:tcPr>
          <w:p w14:paraId="33C329B2">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迅速撤离泄漏污染区人员至上风处，并进行隔离，严格限制出入。切断火源。建议应急处理人员戴自给正压式呼吸器，穿一般作业工作服。避免与可燃物或易燃物接触。尽可能切断泄漏源。合理通风，加速扩散。漏气容器要妥善处理，修复、检验后再用。</w:t>
            </w:r>
          </w:p>
        </w:tc>
      </w:tr>
      <w:tr w14:paraId="49D9172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57" w:type="dxa"/>
            <w:bottom w:w="28" w:type="dxa"/>
            <w:right w:w="28" w:type="dxa"/>
          </w:tblCellMar>
        </w:tblPrEx>
        <w:trPr>
          <w:trHeight w:val="340" w:hRule="atLeast"/>
          <w:jc w:val="center"/>
        </w:trPr>
        <w:tc>
          <w:tcPr>
            <w:tcW w:w="716" w:type="dxa"/>
            <w:noWrap/>
            <w:vAlign w:val="center"/>
          </w:tcPr>
          <w:p w14:paraId="2CA02BA5">
            <w:pPr>
              <w:autoSpaceDE w:val="0"/>
              <w:autoSpaceDN w:val="0"/>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贮运</w:t>
            </w:r>
          </w:p>
        </w:tc>
        <w:tc>
          <w:tcPr>
            <w:tcW w:w="8479" w:type="dxa"/>
            <w:gridSpan w:val="3"/>
            <w:noWrap/>
            <w:vAlign w:val="center"/>
          </w:tcPr>
          <w:p w14:paraId="5D4622D3">
            <w:pPr>
              <w:autoSpaceDE w:val="0"/>
              <w:autoSpaceDN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储存于阴凉、通风的库房。远离火种、热源。储区应备有合适的材料收容泄漏物。</w:t>
            </w:r>
          </w:p>
        </w:tc>
      </w:tr>
    </w:tbl>
    <w:p w14:paraId="09197790">
      <w:pPr>
        <w:keepNext/>
        <w:keepLines/>
        <w:pageBreakBefore w:val="0"/>
        <w:widowControl w:val="0"/>
        <w:tabs>
          <w:tab w:val="left" w:pos="2924"/>
          <w:tab w:val="center" w:pos="4522"/>
        </w:tabs>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宋体" w:cs="Times New Roman"/>
          <w:b/>
          <w:bCs/>
          <w:color w:val="000000" w:themeColor="text1"/>
          <w:lang w:val="zh-CN"/>
          <w14:textFill>
            <w14:solidFill>
              <w14:schemeClr w14:val="tx1"/>
            </w14:solidFill>
          </w14:textFill>
        </w:rPr>
      </w:pPr>
      <w:bookmarkStart w:id="368" w:name="_Toc532203514"/>
      <w:bookmarkStart w:id="369" w:name="_Toc28287"/>
      <w:r>
        <w:rPr>
          <w:rFonts w:hint="default" w:ascii="Times New Roman" w:hAnsi="Times New Roman" w:eastAsia="宋体" w:cs="Times New Roman"/>
          <w:b/>
          <w:bCs/>
          <w:color w:val="000000" w:themeColor="text1"/>
          <w:lang w:val="zh-CN"/>
          <w14:textFill>
            <w14:solidFill>
              <w14:schemeClr w14:val="tx1"/>
            </w14:solidFill>
          </w14:textFill>
        </w:rPr>
        <w:t>表3-5 二氧化硫危险特性表</w:t>
      </w:r>
    </w:p>
    <w:tbl>
      <w:tblPr>
        <w:tblStyle w:val="51"/>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939"/>
        <w:gridCol w:w="2026"/>
        <w:gridCol w:w="1843"/>
        <w:gridCol w:w="2470"/>
      </w:tblGrid>
      <w:tr w14:paraId="73174D2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restart"/>
            <w:vAlign w:val="center"/>
          </w:tcPr>
          <w:p w14:paraId="7C20B6C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标识</w:t>
            </w:r>
          </w:p>
        </w:tc>
        <w:tc>
          <w:tcPr>
            <w:tcW w:w="1939" w:type="dxa"/>
            <w:vAlign w:val="center"/>
          </w:tcPr>
          <w:p w14:paraId="4F0C705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中文名</w:t>
            </w:r>
          </w:p>
        </w:tc>
        <w:tc>
          <w:tcPr>
            <w:tcW w:w="2026" w:type="dxa"/>
            <w:vAlign w:val="center"/>
          </w:tcPr>
          <w:p w14:paraId="1990B34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二氧化硫</w:t>
            </w:r>
          </w:p>
        </w:tc>
        <w:tc>
          <w:tcPr>
            <w:tcW w:w="1843" w:type="dxa"/>
            <w:vAlign w:val="center"/>
          </w:tcPr>
          <w:p w14:paraId="40EE8F3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英文名</w:t>
            </w:r>
          </w:p>
        </w:tc>
        <w:tc>
          <w:tcPr>
            <w:tcW w:w="2470" w:type="dxa"/>
            <w:vAlign w:val="center"/>
          </w:tcPr>
          <w:p w14:paraId="3C2350A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sulfur dioxide</w:t>
            </w:r>
          </w:p>
        </w:tc>
      </w:tr>
      <w:tr w14:paraId="3895254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7D23B6F3">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03CF448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分子式</w:t>
            </w:r>
          </w:p>
        </w:tc>
        <w:tc>
          <w:tcPr>
            <w:tcW w:w="2026" w:type="dxa"/>
            <w:vAlign w:val="center"/>
          </w:tcPr>
          <w:p w14:paraId="10C06AA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SO</w:t>
            </w:r>
            <w:r>
              <w:rPr>
                <w:rFonts w:hint="eastAsia" w:ascii="宋体" w:hAnsi="宋体" w:eastAsia="宋体" w:cs="宋体"/>
                <w:color w:val="000000" w:themeColor="text1"/>
                <w:sz w:val="21"/>
                <w:szCs w:val="21"/>
                <w:vertAlign w:val="subscript"/>
                <w14:textFill>
                  <w14:solidFill>
                    <w14:schemeClr w14:val="tx1"/>
                  </w14:solidFill>
                </w14:textFill>
              </w:rPr>
              <w:t>2</w:t>
            </w:r>
          </w:p>
        </w:tc>
        <w:tc>
          <w:tcPr>
            <w:tcW w:w="1843" w:type="dxa"/>
            <w:vAlign w:val="center"/>
          </w:tcPr>
          <w:p w14:paraId="6BE37AA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危规号</w:t>
            </w:r>
          </w:p>
        </w:tc>
        <w:tc>
          <w:tcPr>
            <w:tcW w:w="2470" w:type="dxa"/>
            <w:vAlign w:val="center"/>
          </w:tcPr>
          <w:p w14:paraId="11A4E56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23013</w:t>
            </w:r>
          </w:p>
        </w:tc>
      </w:tr>
      <w:tr w14:paraId="7B83220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50DE565A">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3B610C24">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分子量</w:t>
            </w:r>
          </w:p>
        </w:tc>
        <w:tc>
          <w:tcPr>
            <w:tcW w:w="2026" w:type="dxa"/>
            <w:vAlign w:val="center"/>
          </w:tcPr>
          <w:p w14:paraId="5FEA8634">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64.06</w:t>
            </w:r>
          </w:p>
        </w:tc>
        <w:tc>
          <w:tcPr>
            <w:tcW w:w="1843" w:type="dxa"/>
            <w:vAlign w:val="center"/>
          </w:tcPr>
          <w:p w14:paraId="0035943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危险性类别</w:t>
            </w:r>
          </w:p>
        </w:tc>
        <w:tc>
          <w:tcPr>
            <w:tcW w:w="2470" w:type="dxa"/>
            <w:vAlign w:val="center"/>
          </w:tcPr>
          <w:p w14:paraId="7D708B2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第2.3 类有毒气体</w:t>
            </w:r>
          </w:p>
        </w:tc>
      </w:tr>
      <w:tr w14:paraId="681C938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restart"/>
            <w:vAlign w:val="center"/>
          </w:tcPr>
          <w:p w14:paraId="66C2F1C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理化特性</w:t>
            </w:r>
          </w:p>
        </w:tc>
        <w:tc>
          <w:tcPr>
            <w:tcW w:w="1939" w:type="dxa"/>
            <w:vAlign w:val="center"/>
          </w:tcPr>
          <w:p w14:paraId="4192C46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熔点（℃）</w:t>
            </w:r>
          </w:p>
        </w:tc>
        <w:tc>
          <w:tcPr>
            <w:tcW w:w="2026" w:type="dxa"/>
            <w:vAlign w:val="center"/>
          </w:tcPr>
          <w:p w14:paraId="5335EB6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-75.5</w:t>
            </w:r>
          </w:p>
        </w:tc>
        <w:tc>
          <w:tcPr>
            <w:tcW w:w="1843" w:type="dxa"/>
            <w:vAlign w:val="center"/>
          </w:tcPr>
          <w:p w14:paraId="7CE9407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沸点（℃）</w:t>
            </w:r>
          </w:p>
        </w:tc>
        <w:tc>
          <w:tcPr>
            <w:tcW w:w="2470" w:type="dxa"/>
            <w:vAlign w:val="center"/>
          </w:tcPr>
          <w:p w14:paraId="785832E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p>
        </w:tc>
      </w:tr>
      <w:tr w14:paraId="1C8317F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2D1E49E5">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0EEEC72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燃烧热（kJ/mol）</w:t>
            </w:r>
          </w:p>
        </w:tc>
        <w:tc>
          <w:tcPr>
            <w:tcW w:w="2026" w:type="dxa"/>
            <w:vAlign w:val="center"/>
          </w:tcPr>
          <w:p w14:paraId="5AD69EA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无意义</w:t>
            </w:r>
          </w:p>
        </w:tc>
        <w:tc>
          <w:tcPr>
            <w:tcW w:w="1843" w:type="dxa"/>
            <w:vAlign w:val="center"/>
          </w:tcPr>
          <w:p w14:paraId="24CECB4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饱和蒸气压（kPa）</w:t>
            </w:r>
          </w:p>
        </w:tc>
        <w:tc>
          <w:tcPr>
            <w:tcW w:w="2470" w:type="dxa"/>
            <w:vAlign w:val="center"/>
          </w:tcPr>
          <w:p w14:paraId="5233208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338.42（21.1℃）</w:t>
            </w:r>
          </w:p>
        </w:tc>
      </w:tr>
      <w:tr w14:paraId="723AE0D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24EDCE40">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06AC07B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临界温度（℃）</w:t>
            </w:r>
          </w:p>
        </w:tc>
        <w:tc>
          <w:tcPr>
            <w:tcW w:w="2026" w:type="dxa"/>
            <w:vAlign w:val="center"/>
          </w:tcPr>
          <w:p w14:paraId="21BEFF0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157.8</w:t>
            </w:r>
          </w:p>
        </w:tc>
        <w:tc>
          <w:tcPr>
            <w:tcW w:w="1843" w:type="dxa"/>
            <w:vAlign w:val="center"/>
          </w:tcPr>
          <w:p w14:paraId="2595ECB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临界压力（MPa）</w:t>
            </w:r>
          </w:p>
        </w:tc>
        <w:tc>
          <w:tcPr>
            <w:tcW w:w="2470" w:type="dxa"/>
            <w:vAlign w:val="center"/>
          </w:tcPr>
          <w:p w14:paraId="02DC77C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7.87</w:t>
            </w:r>
          </w:p>
        </w:tc>
      </w:tr>
      <w:tr w14:paraId="04C3684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7B720F89">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562D1E0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相对密度</w:t>
            </w:r>
          </w:p>
        </w:tc>
        <w:tc>
          <w:tcPr>
            <w:tcW w:w="6339" w:type="dxa"/>
            <w:gridSpan w:val="3"/>
            <w:vAlign w:val="center"/>
          </w:tcPr>
          <w:p w14:paraId="0BF44614">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（水=1） 1.43        （空气=1） 2.26</w:t>
            </w:r>
          </w:p>
        </w:tc>
      </w:tr>
      <w:tr w14:paraId="3AE24E2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22BA94DF">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222DED4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外观性状</w:t>
            </w:r>
          </w:p>
        </w:tc>
        <w:tc>
          <w:tcPr>
            <w:tcW w:w="6339" w:type="dxa"/>
            <w:gridSpan w:val="3"/>
            <w:vAlign w:val="center"/>
          </w:tcPr>
          <w:p w14:paraId="64BED6B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无色气体，特臭</w:t>
            </w:r>
          </w:p>
        </w:tc>
      </w:tr>
      <w:tr w14:paraId="76FC773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208A5DC4">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265E3E5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溶解性</w:t>
            </w:r>
          </w:p>
        </w:tc>
        <w:tc>
          <w:tcPr>
            <w:tcW w:w="6339" w:type="dxa"/>
            <w:gridSpan w:val="3"/>
            <w:vAlign w:val="center"/>
          </w:tcPr>
          <w:p w14:paraId="3BBA3E0C">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溶于水，乙醇</w:t>
            </w:r>
          </w:p>
        </w:tc>
      </w:tr>
      <w:tr w14:paraId="4BC1A5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620172D7">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2F03EA2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稳定性</w:t>
            </w:r>
          </w:p>
        </w:tc>
        <w:tc>
          <w:tcPr>
            <w:tcW w:w="2026" w:type="dxa"/>
            <w:vAlign w:val="center"/>
          </w:tcPr>
          <w:p w14:paraId="62080E6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稳定</w:t>
            </w:r>
          </w:p>
        </w:tc>
        <w:tc>
          <w:tcPr>
            <w:tcW w:w="1843" w:type="dxa"/>
            <w:vAlign w:val="center"/>
          </w:tcPr>
          <w:p w14:paraId="482F505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避免接触的条件</w:t>
            </w:r>
          </w:p>
        </w:tc>
        <w:tc>
          <w:tcPr>
            <w:tcW w:w="2470" w:type="dxa"/>
            <w:vAlign w:val="center"/>
          </w:tcPr>
          <w:p w14:paraId="6541CFF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r>
      <w:tr w14:paraId="67E7C01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168D1FEC">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4F42DC6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禁配物</w:t>
            </w:r>
          </w:p>
        </w:tc>
        <w:tc>
          <w:tcPr>
            <w:tcW w:w="2026" w:type="dxa"/>
            <w:vAlign w:val="center"/>
          </w:tcPr>
          <w:p w14:paraId="2F3AB55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强还原剂、强氧化剂、易燃或可燃物</w:t>
            </w:r>
          </w:p>
        </w:tc>
        <w:tc>
          <w:tcPr>
            <w:tcW w:w="1843" w:type="dxa"/>
            <w:vAlign w:val="center"/>
          </w:tcPr>
          <w:p w14:paraId="73D3DDB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燃烧产物</w:t>
            </w:r>
          </w:p>
        </w:tc>
        <w:tc>
          <w:tcPr>
            <w:tcW w:w="2470" w:type="dxa"/>
            <w:vAlign w:val="center"/>
          </w:tcPr>
          <w:p w14:paraId="1EF093C5">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氧化硫</w:t>
            </w:r>
          </w:p>
        </w:tc>
      </w:tr>
      <w:tr w14:paraId="61FE5FC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22736CED">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74A2FA5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主要用途</w:t>
            </w:r>
          </w:p>
        </w:tc>
        <w:tc>
          <w:tcPr>
            <w:tcW w:w="6339" w:type="dxa"/>
            <w:gridSpan w:val="3"/>
            <w:vAlign w:val="center"/>
          </w:tcPr>
          <w:p w14:paraId="2843121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用于制造硫酸和保险粉等。</w:t>
            </w:r>
          </w:p>
        </w:tc>
      </w:tr>
      <w:tr w14:paraId="73171D1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restart"/>
            <w:vAlign w:val="center"/>
          </w:tcPr>
          <w:p w14:paraId="4E46A92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燃爆特性</w:t>
            </w:r>
          </w:p>
        </w:tc>
        <w:tc>
          <w:tcPr>
            <w:tcW w:w="1939" w:type="dxa"/>
            <w:vAlign w:val="center"/>
          </w:tcPr>
          <w:p w14:paraId="29C4A8F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燃烧性</w:t>
            </w:r>
          </w:p>
        </w:tc>
        <w:tc>
          <w:tcPr>
            <w:tcW w:w="2026" w:type="dxa"/>
            <w:vAlign w:val="center"/>
          </w:tcPr>
          <w:p w14:paraId="34AE9F3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本品不燃，有毒，具强刺激性。</w:t>
            </w:r>
          </w:p>
        </w:tc>
        <w:tc>
          <w:tcPr>
            <w:tcW w:w="1843" w:type="dxa"/>
            <w:vAlign w:val="center"/>
          </w:tcPr>
          <w:p w14:paraId="1B8E4A64">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建规火险分级</w:t>
            </w:r>
          </w:p>
        </w:tc>
        <w:tc>
          <w:tcPr>
            <w:tcW w:w="2470" w:type="dxa"/>
            <w:vAlign w:val="center"/>
          </w:tcPr>
          <w:p w14:paraId="18E3E7F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乙</w:t>
            </w:r>
          </w:p>
        </w:tc>
      </w:tr>
      <w:tr w14:paraId="23E356B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10" w:hRule="atLeast"/>
          <w:jc w:val="center"/>
        </w:trPr>
        <w:tc>
          <w:tcPr>
            <w:tcW w:w="1009" w:type="dxa"/>
            <w:vMerge w:val="continue"/>
            <w:vAlign w:val="center"/>
          </w:tcPr>
          <w:p w14:paraId="0948B595">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5EDBE89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闪点（℃）</w:t>
            </w:r>
          </w:p>
        </w:tc>
        <w:tc>
          <w:tcPr>
            <w:tcW w:w="2026" w:type="dxa"/>
            <w:vAlign w:val="center"/>
          </w:tcPr>
          <w:p w14:paraId="7E11789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无意义</w:t>
            </w:r>
          </w:p>
        </w:tc>
        <w:tc>
          <w:tcPr>
            <w:tcW w:w="1843" w:type="dxa"/>
            <w:vAlign w:val="center"/>
          </w:tcPr>
          <w:p w14:paraId="5920F52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引燃温度（℃）</w:t>
            </w:r>
          </w:p>
        </w:tc>
        <w:tc>
          <w:tcPr>
            <w:tcW w:w="2470" w:type="dxa"/>
            <w:vAlign w:val="center"/>
          </w:tcPr>
          <w:p w14:paraId="6E865504">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无意义</w:t>
            </w:r>
          </w:p>
        </w:tc>
      </w:tr>
      <w:tr w14:paraId="7844FF8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416B5638">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608C2AE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爆炸下限（V%）</w:t>
            </w:r>
          </w:p>
        </w:tc>
        <w:tc>
          <w:tcPr>
            <w:tcW w:w="2026" w:type="dxa"/>
            <w:vAlign w:val="center"/>
          </w:tcPr>
          <w:p w14:paraId="031873F4">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无意义</w:t>
            </w:r>
          </w:p>
        </w:tc>
        <w:tc>
          <w:tcPr>
            <w:tcW w:w="1843" w:type="dxa"/>
            <w:vAlign w:val="center"/>
          </w:tcPr>
          <w:p w14:paraId="1F3286A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爆炸上限（V%）</w:t>
            </w:r>
          </w:p>
        </w:tc>
        <w:tc>
          <w:tcPr>
            <w:tcW w:w="2470" w:type="dxa"/>
            <w:vAlign w:val="center"/>
          </w:tcPr>
          <w:p w14:paraId="37B1FE3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无意义</w:t>
            </w:r>
          </w:p>
        </w:tc>
      </w:tr>
      <w:tr w14:paraId="701F2DF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73B8B155">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4E1E4E5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危险特性</w:t>
            </w:r>
          </w:p>
        </w:tc>
        <w:tc>
          <w:tcPr>
            <w:tcW w:w="6339" w:type="dxa"/>
            <w:gridSpan w:val="3"/>
            <w:vAlign w:val="center"/>
          </w:tcPr>
          <w:p w14:paraId="1D1D92F8">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不燃。若遇高热，容器内压增大，有开裂和爆炸的危险。</w:t>
            </w:r>
          </w:p>
        </w:tc>
      </w:tr>
      <w:tr w14:paraId="2EEAD52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2A303424">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0A5272D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灭火方法</w:t>
            </w:r>
          </w:p>
        </w:tc>
        <w:tc>
          <w:tcPr>
            <w:tcW w:w="6339" w:type="dxa"/>
            <w:gridSpan w:val="3"/>
            <w:vAlign w:val="center"/>
          </w:tcPr>
          <w:p w14:paraId="49F2FBB1">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本品不燃。消防人员必须佩戴过滤式防毒面具（全面罩）或隔离式呼吸器、穿全身防火防毒服，在上风向灭火。切断气源。喷水冷却容器，可能的话将容器从火场移至空旷处。灭火剂：雾状水、泡沫、二氧化碳。</w:t>
            </w:r>
          </w:p>
        </w:tc>
      </w:tr>
      <w:tr w14:paraId="17BA910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restart"/>
            <w:tcBorders>
              <w:top w:val="single" w:color="auto" w:sz="4" w:space="0"/>
            </w:tcBorders>
            <w:vAlign w:val="center"/>
          </w:tcPr>
          <w:p w14:paraId="37BFF4C4">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毒性及健康危害</w:t>
            </w:r>
          </w:p>
        </w:tc>
        <w:tc>
          <w:tcPr>
            <w:tcW w:w="1939" w:type="dxa"/>
            <w:tcBorders>
              <w:top w:val="single" w:color="auto" w:sz="4" w:space="0"/>
            </w:tcBorders>
            <w:vAlign w:val="center"/>
          </w:tcPr>
          <w:p w14:paraId="15413FB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侵入途径</w:t>
            </w:r>
          </w:p>
        </w:tc>
        <w:tc>
          <w:tcPr>
            <w:tcW w:w="6339" w:type="dxa"/>
            <w:gridSpan w:val="3"/>
            <w:vAlign w:val="center"/>
          </w:tcPr>
          <w:p w14:paraId="2A8F65E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吸入</w:t>
            </w:r>
          </w:p>
        </w:tc>
      </w:tr>
      <w:tr w14:paraId="0A0191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74AA2C07">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3541846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急性毒性</w:t>
            </w:r>
          </w:p>
        </w:tc>
        <w:tc>
          <w:tcPr>
            <w:tcW w:w="6339" w:type="dxa"/>
            <w:gridSpan w:val="3"/>
          </w:tcPr>
          <w:p w14:paraId="71004B36">
            <w:pPr>
              <w:adjustRightInd w:val="0"/>
              <w:snapToGrid w:val="0"/>
              <w:ind w:left="1920" w:leftChars="8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LD50：无资料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LC50：6600mg/m</w:t>
            </w:r>
            <w:r>
              <w:rPr>
                <w:rFonts w:hint="eastAsia" w:ascii="宋体" w:hAnsi="宋体" w:eastAsia="宋体" w:cs="宋体"/>
                <w:color w:val="000000" w:themeColor="text1"/>
                <w:sz w:val="21"/>
                <w:szCs w:val="21"/>
                <w:vertAlign w:val="superscript"/>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，1小时（大鼠吸入）</w:t>
            </w:r>
          </w:p>
        </w:tc>
      </w:tr>
      <w:tr w14:paraId="28DA73E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6FC6A513">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33D882B4">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健康危害</w:t>
            </w:r>
          </w:p>
        </w:tc>
        <w:tc>
          <w:tcPr>
            <w:tcW w:w="6339" w:type="dxa"/>
            <w:gridSpan w:val="3"/>
            <w:vAlign w:val="center"/>
          </w:tcPr>
          <w:p w14:paraId="7BC86E48">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易被湿润的粘膜表面吸收生成亚硫酸、硫酸。对眼及呼吸道粘膜有强烈的刺激作用。大量吸入可引起肺水肿、喉水肿、声带痉挛而致窒息。 急性中毒：轻度中毒时，发生流泪、畏光、咳嗽，咽、喉灼痛等；严重中毒可在数小时内发生肺水肿；极高浓度吸入可引起反射性声门痉挛而致窒息。皮肤或眼接触发生炎症或灼伤。 慢性影响：长期低浓度接触，可有头痛、头昏、乏力等全身症状以及慢性鼻炎、咽喉炎、支气管炎、嗅觉及味觉减退等。少数工人有牙齿酸蚀症。</w:t>
            </w:r>
          </w:p>
        </w:tc>
      </w:tr>
      <w:tr w14:paraId="016416C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restart"/>
            <w:vAlign w:val="center"/>
          </w:tcPr>
          <w:p w14:paraId="50A38EA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急救措施</w:t>
            </w:r>
          </w:p>
        </w:tc>
        <w:tc>
          <w:tcPr>
            <w:tcW w:w="1939" w:type="dxa"/>
            <w:vAlign w:val="center"/>
          </w:tcPr>
          <w:p w14:paraId="27DCDB8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眼睛接触</w:t>
            </w:r>
          </w:p>
        </w:tc>
        <w:tc>
          <w:tcPr>
            <w:tcW w:w="6339" w:type="dxa"/>
            <w:gridSpan w:val="3"/>
            <w:vAlign w:val="center"/>
          </w:tcPr>
          <w:p w14:paraId="6BA052C2">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提起眼睑，用流动清水或生理盐水冲洗。就医。</w:t>
            </w:r>
          </w:p>
        </w:tc>
      </w:tr>
      <w:tr w14:paraId="3500508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18B675C8">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20F86E7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皮肤接触</w:t>
            </w:r>
          </w:p>
        </w:tc>
        <w:tc>
          <w:tcPr>
            <w:tcW w:w="6339" w:type="dxa"/>
            <w:gridSpan w:val="3"/>
            <w:vAlign w:val="center"/>
          </w:tcPr>
          <w:p w14:paraId="72C39141">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立即脱去污染的衣着，用大量流动清水冲洗。就医。</w:t>
            </w:r>
          </w:p>
        </w:tc>
      </w:tr>
      <w:tr w14:paraId="115D854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Merge w:val="continue"/>
            <w:vAlign w:val="center"/>
          </w:tcPr>
          <w:p w14:paraId="37A05416">
            <w:pPr>
              <w:widowControl/>
              <w:adjustRightInd w:val="0"/>
              <w:snapToGrid w:val="0"/>
              <w:jc w:val="left"/>
              <w:rPr>
                <w:rFonts w:hint="eastAsia" w:ascii="宋体" w:hAnsi="宋体" w:eastAsia="宋体" w:cs="宋体"/>
                <w:color w:val="000000" w:themeColor="text1"/>
                <w:sz w:val="21"/>
                <w:szCs w:val="21"/>
                <w14:textFill>
                  <w14:solidFill>
                    <w14:schemeClr w14:val="tx1"/>
                  </w14:solidFill>
                </w14:textFill>
              </w:rPr>
            </w:pPr>
          </w:p>
        </w:tc>
        <w:tc>
          <w:tcPr>
            <w:tcW w:w="1939" w:type="dxa"/>
            <w:vAlign w:val="center"/>
          </w:tcPr>
          <w:p w14:paraId="259403B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吸入</w:t>
            </w:r>
          </w:p>
        </w:tc>
        <w:tc>
          <w:tcPr>
            <w:tcW w:w="6339" w:type="dxa"/>
            <w:gridSpan w:val="3"/>
            <w:vAlign w:val="center"/>
          </w:tcPr>
          <w:p w14:paraId="179B6A86">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迅速脱离现场至空气新鲜处。保持呼吸道通畅。如呼吸困难，给输氧。如呼吸停止，立即进行人工呼吸。就医。</w:t>
            </w:r>
          </w:p>
        </w:tc>
      </w:tr>
      <w:tr w14:paraId="0601BB5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Align w:val="center"/>
          </w:tcPr>
          <w:p w14:paraId="544C1FE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泄漏应急处理</w:t>
            </w:r>
          </w:p>
        </w:tc>
        <w:tc>
          <w:tcPr>
            <w:tcW w:w="8278" w:type="dxa"/>
            <w:gridSpan w:val="4"/>
            <w:vAlign w:val="center"/>
          </w:tcPr>
          <w:p w14:paraId="5AEAC137">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迅速撤离泄漏污染区人员至上风处，并立即进行隔离，小泄漏时隔离150m，大泄漏时隔离450m，严格限制出入。建议应急处理人员戴自给正压式呼吸器，穿防毒服。从上风处进入现场。尽可能切断泄漏源。用工业覆盖层或吸附/ 吸收剂盖住泄漏点附近的下水道等地方，防止气体进入。合理通风，加速扩散。喷雾状水稀释、溶解。构筑围堤或挖坑收容产生的大量废水。如有可能，用一捉捕器使气体通过次氯酸钠溶液。漏气容器要妥善处理，修复、检验后再用。</w:t>
            </w:r>
          </w:p>
        </w:tc>
      </w:tr>
      <w:tr w14:paraId="6A21749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Align w:val="center"/>
          </w:tcPr>
          <w:p w14:paraId="7CC119B4">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操作注意事项</w:t>
            </w:r>
          </w:p>
        </w:tc>
        <w:tc>
          <w:tcPr>
            <w:tcW w:w="8278" w:type="dxa"/>
            <w:gridSpan w:val="4"/>
            <w:vAlign w:val="center"/>
          </w:tcPr>
          <w:p w14:paraId="19DCF346">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严加密闭，提供充分的局部排风和全面通风。操作人员必须经过专门培训，严格遵守操作规程。建议操作人员佩戴自吸过滤式防毒面具（全面罩），穿聚乙烯防毒服，戴橡胶手套。远离易燃、可燃物。防止气体泄漏到工作场所空气中。避免与氧化剂、还原剂接触。搬运时轻装轻卸，防止钢瓶及附件破损。配备泄漏应急处理设备。</w:t>
            </w:r>
          </w:p>
        </w:tc>
      </w:tr>
      <w:tr w14:paraId="7D264C8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Align w:val="center"/>
          </w:tcPr>
          <w:p w14:paraId="1765E90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包装方法</w:t>
            </w:r>
          </w:p>
        </w:tc>
        <w:tc>
          <w:tcPr>
            <w:tcW w:w="8278" w:type="dxa"/>
            <w:gridSpan w:val="4"/>
            <w:vAlign w:val="center"/>
          </w:tcPr>
          <w:p w14:paraId="6944F34E">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包装类别：O52</w:t>
            </w:r>
          </w:p>
          <w:p w14:paraId="0990BF6E">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包装方法：钢质气瓶；安瓿瓶外普通木箱。</w:t>
            </w:r>
          </w:p>
        </w:tc>
      </w:tr>
      <w:tr w14:paraId="6989C76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Align w:val="center"/>
          </w:tcPr>
          <w:p w14:paraId="2B2D8F5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储存注意事项</w:t>
            </w:r>
          </w:p>
        </w:tc>
        <w:tc>
          <w:tcPr>
            <w:tcW w:w="8278" w:type="dxa"/>
            <w:gridSpan w:val="4"/>
            <w:vAlign w:val="center"/>
          </w:tcPr>
          <w:p w14:paraId="1FEE685E">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储存于阴凉、通风的库房。远离火种、热源。库温不宜超过30℃。应与易（可）燃物、氧化剂、还原剂、食用化学品分开存放，切忌混储。储区应备有泄漏应急处理设备。</w:t>
            </w:r>
          </w:p>
        </w:tc>
      </w:tr>
      <w:tr w14:paraId="5363239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Align w:val="center"/>
          </w:tcPr>
          <w:p w14:paraId="7B2C8AD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运输注意事项</w:t>
            </w:r>
          </w:p>
        </w:tc>
        <w:tc>
          <w:tcPr>
            <w:tcW w:w="8278" w:type="dxa"/>
            <w:gridSpan w:val="4"/>
            <w:vAlign w:val="center"/>
          </w:tcPr>
          <w:p w14:paraId="0BB0ACAB">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品铁路运输时限使用耐压液化气企业自备罐车装运，装运前需报有关部门批准。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严禁与易燃物或可燃物、氧化剂、还原剂、食用化学品等混装混运。夏季应早晚运输，防止日光曝晒。公路运输时要按规定路线行驶，禁止在居民区和人口稠密区停留。铁路运输时要禁止溜放。 </w:t>
            </w:r>
          </w:p>
        </w:tc>
      </w:tr>
      <w:tr w14:paraId="4076A2B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09" w:type="dxa"/>
            <w:vAlign w:val="center"/>
          </w:tcPr>
          <w:p w14:paraId="4E5C9CD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防护措施</w:t>
            </w:r>
          </w:p>
        </w:tc>
        <w:tc>
          <w:tcPr>
            <w:tcW w:w="8278" w:type="dxa"/>
            <w:gridSpan w:val="4"/>
            <w:vAlign w:val="center"/>
          </w:tcPr>
          <w:p w14:paraId="249C5E9E">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工程控制：严加密闭，提供充分的局部排风和全面通风。提供安全淋浴和洗眼设备。</w:t>
            </w:r>
          </w:p>
          <w:p w14:paraId="27BE33AE">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呼吸系统防护：空气中浓度超标时，佩戴自吸过滤式防毒面具（全面罩）。紧急事态抢救或撤离时，建议佩戴正压自给式呼吸器。眼睛防护：呼吸系统防护中已作防护。</w:t>
            </w:r>
          </w:p>
          <w:p w14:paraId="2B576B19">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身体防护：穿聚乙烯防毒服。</w:t>
            </w:r>
          </w:p>
          <w:p w14:paraId="57231051">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手防护：戴橡胶手套。</w:t>
            </w:r>
          </w:p>
          <w:p w14:paraId="7BF2D77F">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其他防护：工作现场禁止吸烟、进食和饮水。工作完毕，淋浴更衣。保持良好的卫生习惯。</w:t>
            </w:r>
          </w:p>
        </w:tc>
      </w:tr>
    </w:tbl>
    <w:p w14:paraId="633ACA66">
      <w:pPr>
        <w:keepNext/>
        <w:keepLines/>
        <w:pageBreakBefore w:val="0"/>
        <w:widowControl w:val="0"/>
        <w:tabs>
          <w:tab w:val="left" w:pos="2924"/>
          <w:tab w:val="center" w:pos="4522"/>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themeColor="text1"/>
          <w:lang w:val="zh-CN"/>
          <w14:textFill>
            <w14:solidFill>
              <w14:schemeClr w14:val="tx1"/>
            </w14:solidFill>
          </w14:textFill>
        </w:rPr>
      </w:pPr>
      <w:r>
        <w:rPr>
          <w:rFonts w:hint="default" w:ascii="Times New Roman" w:hAnsi="Times New Roman" w:eastAsia="宋体" w:cs="Times New Roman"/>
          <w:b/>
          <w:bCs/>
          <w:color w:val="000000" w:themeColor="text1"/>
          <w:lang w:val="zh-CN"/>
          <w14:textFill>
            <w14:solidFill>
              <w14:schemeClr w14:val="tx1"/>
            </w14:solidFill>
          </w14:textFill>
        </w:rPr>
        <w:t>表3-</w:t>
      </w:r>
      <w:r>
        <w:rPr>
          <w:rFonts w:hint="eastAsia" w:ascii="Times New Roman" w:hAnsi="Times New Roman" w:eastAsia="宋体" w:cs="Times New Roman"/>
          <w:b/>
          <w:bCs/>
          <w:color w:val="000000" w:themeColor="text1"/>
          <w:lang w:val="en-US" w:eastAsia="zh-CN"/>
          <w14:textFill>
            <w14:solidFill>
              <w14:schemeClr w14:val="tx1"/>
            </w14:solidFill>
          </w14:textFill>
        </w:rPr>
        <w:t>6</w:t>
      </w:r>
      <w:r>
        <w:rPr>
          <w:rFonts w:hint="default" w:ascii="Times New Roman" w:hAnsi="Times New Roman" w:eastAsia="宋体" w:cs="Times New Roman"/>
          <w:b/>
          <w:bCs/>
          <w:color w:val="000000" w:themeColor="text1"/>
          <w:lang w:val="zh-CN"/>
          <w14:textFill>
            <w14:solidFill>
              <w14:schemeClr w14:val="tx1"/>
            </w14:solidFill>
          </w14:textFill>
        </w:rPr>
        <w:t xml:space="preserve"> 一氧化碳理化特性表</w:t>
      </w:r>
    </w:p>
    <w:tbl>
      <w:tblPr>
        <w:tblStyle w:val="51"/>
        <w:tblW w:w="954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34"/>
        <w:gridCol w:w="448"/>
        <w:gridCol w:w="569"/>
        <w:gridCol w:w="671"/>
        <w:gridCol w:w="117"/>
        <w:gridCol w:w="302"/>
        <w:gridCol w:w="1047"/>
        <w:gridCol w:w="495"/>
        <w:gridCol w:w="463"/>
        <w:gridCol w:w="839"/>
        <w:gridCol w:w="412"/>
        <w:gridCol w:w="2425"/>
      </w:tblGrid>
      <w:tr w14:paraId="64D8B3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42" w:type="dxa"/>
            <w:gridSpan w:val="13"/>
          </w:tcPr>
          <w:p w14:paraId="141DE17F">
            <w:pPr>
              <w:snapToGrid w:val="0"/>
              <w:spacing w:line="320" w:lineRule="exac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物质名称：</w:t>
            </w:r>
            <w:r>
              <w:rPr>
                <w:rFonts w:hint="eastAsia" w:ascii="宋体" w:hAnsi="宋体" w:eastAsia="宋体" w:cs="宋体"/>
                <w:color w:val="000000" w:themeColor="text1"/>
                <w:sz w:val="21"/>
                <w:szCs w:val="21"/>
                <w14:textFill>
                  <w14:solidFill>
                    <w14:schemeClr w14:val="tx1"/>
                  </w14:solidFill>
                </w14:textFill>
              </w:rPr>
              <w:t>一氧化碳；CAS号：</w:t>
            </w:r>
            <w:r>
              <w:rPr>
                <w:rFonts w:hint="eastAsia" w:ascii="宋体" w:hAnsi="宋体" w:eastAsia="宋体" w:cs="宋体"/>
                <w:color w:val="000000" w:themeColor="text1"/>
                <w:kern w:val="0"/>
                <w:sz w:val="21"/>
                <w:szCs w:val="21"/>
                <w14:textFill>
                  <w14:solidFill>
                    <w14:schemeClr w14:val="tx1"/>
                  </w14:solidFill>
                </w14:textFill>
              </w:rPr>
              <w:t>630-08-0</w:t>
            </w:r>
          </w:p>
        </w:tc>
      </w:tr>
      <w:tr w14:paraId="57C1BF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42" w:type="dxa"/>
            <w:gridSpan w:val="13"/>
          </w:tcPr>
          <w:p w14:paraId="5BAD809E">
            <w:pPr>
              <w:snapToGrid w:val="0"/>
              <w:spacing w:line="320" w:lineRule="exac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物化特性</w:t>
            </w:r>
          </w:p>
        </w:tc>
      </w:tr>
      <w:tr w14:paraId="29383C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02" w:type="dxa"/>
            <w:gridSpan w:val="3"/>
            <w:vAlign w:val="center"/>
          </w:tcPr>
          <w:p w14:paraId="7DE2B70E">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沸点（℃）</w:t>
            </w:r>
          </w:p>
        </w:tc>
        <w:tc>
          <w:tcPr>
            <w:tcW w:w="1240" w:type="dxa"/>
            <w:gridSpan w:val="2"/>
            <w:vAlign w:val="center"/>
          </w:tcPr>
          <w:p w14:paraId="054C5C17">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-191.4</w:t>
            </w:r>
          </w:p>
        </w:tc>
        <w:tc>
          <w:tcPr>
            <w:tcW w:w="1466" w:type="dxa"/>
            <w:gridSpan w:val="3"/>
            <w:vAlign w:val="center"/>
          </w:tcPr>
          <w:p w14:paraId="6ED25759">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比重（水=1）</w:t>
            </w:r>
          </w:p>
        </w:tc>
        <w:tc>
          <w:tcPr>
            <w:tcW w:w="4634" w:type="dxa"/>
            <w:gridSpan w:val="5"/>
            <w:vAlign w:val="center"/>
          </w:tcPr>
          <w:p w14:paraId="6C7AFA33">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0.79</w:t>
            </w:r>
          </w:p>
        </w:tc>
      </w:tr>
      <w:tr w14:paraId="2374DB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02" w:type="dxa"/>
            <w:gridSpan w:val="3"/>
            <w:vAlign w:val="center"/>
          </w:tcPr>
          <w:p w14:paraId="445742DA">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饱和蒸气压（kPa）</w:t>
            </w:r>
          </w:p>
        </w:tc>
        <w:tc>
          <w:tcPr>
            <w:tcW w:w="1240" w:type="dxa"/>
            <w:gridSpan w:val="2"/>
            <w:vAlign w:val="center"/>
          </w:tcPr>
          <w:p w14:paraId="2DE16E90">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无资料</w:t>
            </w:r>
          </w:p>
        </w:tc>
        <w:tc>
          <w:tcPr>
            <w:tcW w:w="1466" w:type="dxa"/>
            <w:gridSpan w:val="3"/>
            <w:vAlign w:val="center"/>
          </w:tcPr>
          <w:p w14:paraId="52D937DA">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熔点（℃）</w:t>
            </w:r>
          </w:p>
        </w:tc>
        <w:tc>
          <w:tcPr>
            <w:tcW w:w="4634" w:type="dxa"/>
            <w:gridSpan w:val="5"/>
            <w:vAlign w:val="center"/>
          </w:tcPr>
          <w:p w14:paraId="5CAA2601">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-199.1</w:t>
            </w:r>
          </w:p>
        </w:tc>
      </w:tr>
      <w:tr w14:paraId="6BA2B9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02" w:type="dxa"/>
            <w:gridSpan w:val="3"/>
            <w:vAlign w:val="center"/>
          </w:tcPr>
          <w:p w14:paraId="4D0246AD">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相对密度（空气=1）</w:t>
            </w:r>
          </w:p>
        </w:tc>
        <w:tc>
          <w:tcPr>
            <w:tcW w:w="1240" w:type="dxa"/>
            <w:gridSpan w:val="2"/>
            <w:vAlign w:val="center"/>
          </w:tcPr>
          <w:p w14:paraId="50FC5769">
            <w:pPr>
              <w:pStyle w:val="33"/>
              <w:pBdr>
                <w:bottom w:val="none" w:color="auto" w:sz="0" w:space="0"/>
              </w:pBdr>
              <w:tabs>
                <w:tab w:val="clear" w:pos="4153"/>
                <w:tab w:val="clear" w:pos="8306"/>
              </w:tabs>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0.97</w:t>
            </w:r>
          </w:p>
        </w:tc>
        <w:tc>
          <w:tcPr>
            <w:tcW w:w="1466" w:type="dxa"/>
            <w:gridSpan w:val="3"/>
            <w:vAlign w:val="center"/>
          </w:tcPr>
          <w:p w14:paraId="0D288254">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溶解性</w:t>
            </w:r>
          </w:p>
        </w:tc>
        <w:tc>
          <w:tcPr>
            <w:tcW w:w="4634" w:type="dxa"/>
            <w:gridSpan w:val="5"/>
            <w:vAlign w:val="center"/>
          </w:tcPr>
          <w:p w14:paraId="5F44A261">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微溶于水，溶于乙醇、苯等多数有机溶剂</w:t>
            </w:r>
          </w:p>
        </w:tc>
      </w:tr>
      <w:tr w14:paraId="368A9B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02" w:type="dxa"/>
            <w:gridSpan w:val="3"/>
            <w:vAlign w:val="center"/>
          </w:tcPr>
          <w:p w14:paraId="6B046DC9">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外观与气味</w:t>
            </w:r>
          </w:p>
        </w:tc>
        <w:tc>
          <w:tcPr>
            <w:tcW w:w="7340" w:type="dxa"/>
            <w:gridSpan w:val="10"/>
            <w:vAlign w:val="center"/>
          </w:tcPr>
          <w:p w14:paraId="1D1B989D">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无色无臭气体</w:t>
            </w:r>
          </w:p>
        </w:tc>
      </w:tr>
      <w:tr w14:paraId="5686A7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42" w:type="dxa"/>
            <w:gridSpan w:val="13"/>
            <w:vAlign w:val="center"/>
          </w:tcPr>
          <w:p w14:paraId="35382D1A">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火灾爆炸危险数据</w:t>
            </w:r>
          </w:p>
        </w:tc>
      </w:tr>
      <w:tr w14:paraId="65A7FC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02" w:type="dxa"/>
            <w:gridSpan w:val="3"/>
            <w:vAlign w:val="center"/>
          </w:tcPr>
          <w:p w14:paraId="5E253745">
            <w:pPr>
              <w:tabs>
                <w:tab w:val="center" w:pos="993"/>
              </w:tabs>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闪点（℃）</w:t>
            </w:r>
          </w:p>
        </w:tc>
        <w:tc>
          <w:tcPr>
            <w:tcW w:w="1659" w:type="dxa"/>
            <w:gridSpan w:val="4"/>
            <w:vAlign w:val="center"/>
          </w:tcPr>
          <w:p w14:paraId="39C37AE7">
            <w:pPr>
              <w:spacing w:line="32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＜-50</w:t>
            </w:r>
          </w:p>
        </w:tc>
        <w:tc>
          <w:tcPr>
            <w:tcW w:w="1542" w:type="dxa"/>
            <w:gridSpan w:val="2"/>
            <w:vAlign w:val="center"/>
          </w:tcPr>
          <w:p w14:paraId="619D4B8B">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爆炸极限</w:t>
            </w:r>
          </w:p>
        </w:tc>
        <w:tc>
          <w:tcPr>
            <w:tcW w:w="4139" w:type="dxa"/>
            <w:gridSpan w:val="4"/>
            <w:vAlign w:val="center"/>
          </w:tcPr>
          <w:p w14:paraId="70627524">
            <w:pPr>
              <w:snapToGrid w:val="0"/>
              <w:spacing w:line="32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12.5～74.2</w:t>
            </w:r>
          </w:p>
        </w:tc>
      </w:tr>
      <w:tr w14:paraId="2733BC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02" w:type="dxa"/>
            <w:gridSpan w:val="3"/>
            <w:vAlign w:val="center"/>
          </w:tcPr>
          <w:p w14:paraId="6070FA2B">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灭火剂</w:t>
            </w:r>
          </w:p>
        </w:tc>
        <w:tc>
          <w:tcPr>
            <w:tcW w:w="7340" w:type="dxa"/>
            <w:gridSpan w:val="10"/>
            <w:vAlign w:val="center"/>
          </w:tcPr>
          <w:p w14:paraId="1E9E91B4">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雾状水、泡沫、二氧化碳、干粉</w:t>
            </w:r>
          </w:p>
        </w:tc>
      </w:tr>
      <w:tr w14:paraId="252F0F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02" w:type="dxa"/>
            <w:gridSpan w:val="3"/>
            <w:vAlign w:val="center"/>
          </w:tcPr>
          <w:p w14:paraId="6FB6FDF4">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灭火方法</w:t>
            </w:r>
          </w:p>
        </w:tc>
        <w:tc>
          <w:tcPr>
            <w:tcW w:w="7340" w:type="dxa"/>
            <w:gridSpan w:val="10"/>
            <w:vAlign w:val="center"/>
          </w:tcPr>
          <w:p w14:paraId="7F72C4D0">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切断气源。若不能立即切断气源，则不允许熄灭正在燃烧的气体。喷水冷却容器，可能的话将容器从火场移至空旷处</w:t>
            </w:r>
          </w:p>
        </w:tc>
      </w:tr>
      <w:tr w14:paraId="051BF3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02" w:type="dxa"/>
            <w:gridSpan w:val="3"/>
            <w:vAlign w:val="center"/>
          </w:tcPr>
          <w:p w14:paraId="550D9D2E">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危险特性</w:t>
            </w:r>
          </w:p>
        </w:tc>
        <w:tc>
          <w:tcPr>
            <w:tcW w:w="7340" w:type="dxa"/>
            <w:gridSpan w:val="10"/>
            <w:vAlign w:val="center"/>
          </w:tcPr>
          <w:p w14:paraId="5D374492">
            <w:pPr>
              <w:snapToGrid w:val="0"/>
              <w:spacing w:line="32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是一种易燃易爆气体。与空气混合能形成爆炸性混合物，遇明火、高热能引起燃烧爆炸。</w:t>
            </w:r>
          </w:p>
        </w:tc>
      </w:tr>
      <w:tr w14:paraId="79EF92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42" w:type="dxa"/>
            <w:gridSpan w:val="13"/>
            <w:vAlign w:val="center"/>
          </w:tcPr>
          <w:p w14:paraId="5066BEBE">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反应活性数据</w:t>
            </w:r>
          </w:p>
        </w:tc>
      </w:tr>
      <w:tr w14:paraId="5908D5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20" w:type="dxa"/>
            <w:vMerge w:val="restart"/>
            <w:vAlign w:val="center"/>
          </w:tcPr>
          <w:p w14:paraId="6EFDBB93">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稳定性</w:t>
            </w:r>
          </w:p>
        </w:tc>
        <w:tc>
          <w:tcPr>
            <w:tcW w:w="1151" w:type="dxa"/>
            <w:gridSpan w:val="3"/>
            <w:vAlign w:val="center"/>
          </w:tcPr>
          <w:p w14:paraId="4DC962EB">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不稳定</w:t>
            </w:r>
          </w:p>
        </w:tc>
        <w:tc>
          <w:tcPr>
            <w:tcW w:w="788" w:type="dxa"/>
            <w:gridSpan w:val="2"/>
            <w:vAlign w:val="center"/>
          </w:tcPr>
          <w:p w14:paraId="49131872">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p>
        </w:tc>
        <w:tc>
          <w:tcPr>
            <w:tcW w:w="1349" w:type="dxa"/>
            <w:gridSpan w:val="2"/>
            <w:vAlign w:val="center"/>
          </w:tcPr>
          <w:p w14:paraId="1C60F475">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避免条件</w:t>
            </w:r>
          </w:p>
        </w:tc>
        <w:tc>
          <w:tcPr>
            <w:tcW w:w="4634" w:type="dxa"/>
            <w:gridSpan w:val="5"/>
            <w:vAlign w:val="center"/>
          </w:tcPr>
          <w:p w14:paraId="17613FA8">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p>
        </w:tc>
      </w:tr>
      <w:tr w14:paraId="43470B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20" w:type="dxa"/>
            <w:vMerge w:val="continue"/>
            <w:vAlign w:val="center"/>
          </w:tcPr>
          <w:p w14:paraId="1353D6D7">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p>
        </w:tc>
        <w:tc>
          <w:tcPr>
            <w:tcW w:w="1151" w:type="dxa"/>
            <w:gridSpan w:val="3"/>
            <w:vAlign w:val="center"/>
          </w:tcPr>
          <w:p w14:paraId="49193488">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稳定</w:t>
            </w:r>
          </w:p>
        </w:tc>
        <w:tc>
          <w:tcPr>
            <w:tcW w:w="788" w:type="dxa"/>
            <w:gridSpan w:val="2"/>
            <w:vAlign w:val="center"/>
          </w:tcPr>
          <w:p w14:paraId="21EA1BCC">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w:t>
            </w:r>
          </w:p>
        </w:tc>
        <w:tc>
          <w:tcPr>
            <w:tcW w:w="5983" w:type="dxa"/>
            <w:gridSpan w:val="7"/>
            <w:vAlign w:val="center"/>
          </w:tcPr>
          <w:p w14:paraId="220C86E6">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p>
        </w:tc>
      </w:tr>
      <w:tr w14:paraId="0F22FE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20" w:type="dxa"/>
            <w:vMerge w:val="restart"/>
            <w:vAlign w:val="center"/>
          </w:tcPr>
          <w:p w14:paraId="50D2ED21">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聚合危险性</w:t>
            </w:r>
          </w:p>
        </w:tc>
        <w:tc>
          <w:tcPr>
            <w:tcW w:w="1151" w:type="dxa"/>
            <w:gridSpan w:val="3"/>
            <w:vAlign w:val="center"/>
          </w:tcPr>
          <w:p w14:paraId="30F4475C">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可能存在</w:t>
            </w:r>
          </w:p>
        </w:tc>
        <w:tc>
          <w:tcPr>
            <w:tcW w:w="788" w:type="dxa"/>
            <w:gridSpan w:val="2"/>
            <w:vAlign w:val="center"/>
          </w:tcPr>
          <w:p w14:paraId="0DF9125E">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p>
        </w:tc>
        <w:tc>
          <w:tcPr>
            <w:tcW w:w="1349" w:type="dxa"/>
            <w:gridSpan w:val="2"/>
            <w:vAlign w:val="center"/>
          </w:tcPr>
          <w:p w14:paraId="732D3710">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避免条件</w:t>
            </w:r>
          </w:p>
        </w:tc>
        <w:tc>
          <w:tcPr>
            <w:tcW w:w="4634" w:type="dxa"/>
            <w:gridSpan w:val="5"/>
            <w:vAlign w:val="center"/>
          </w:tcPr>
          <w:p w14:paraId="6EB38672">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p>
        </w:tc>
      </w:tr>
      <w:tr w14:paraId="383FF8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20" w:type="dxa"/>
            <w:vMerge w:val="continue"/>
            <w:vAlign w:val="center"/>
          </w:tcPr>
          <w:p w14:paraId="129F91C9">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p>
        </w:tc>
        <w:tc>
          <w:tcPr>
            <w:tcW w:w="1151" w:type="dxa"/>
            <w:gridSpan w:val="3"/>
            <w:vAlign w:val="center"/>
          </w:tcPr>
          <w:p w14:paraId="2F60C911">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不存在</w:t>
            </w:r>
          </w:p>
        </w:tc>
        <w:tc>
          <w:tcPr>
            <w:tcW w:w="788" w:type="dxa"/>
            <w:gridSpan w:val="2"/>
            <w:vAlign w:val="center"/>
          </w:tcPr>
          <w:p w14:paraId="42A60063">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w:t>
            </w:r>
          </w:p>
        </w:tc>
        <w:tc>
          <w:tcPr>
            <w:tcW w:w="5983" w:type="dxa"/>
            <w:gridSpan w:val="7"/>
            <w:vAlign w:val="center"/>
          </w:tcPr>
          <w:p w14:paraId="0D61DBBF">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p>
        </w:tc>
      </w:tr>
      <w:tr w14:paraId="29E7C7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20" w:type="dxa"/>
            <w:vAlign w:val="center"/>
          </w:tcPr>
          <w:p w14:paraId="167C93E8">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禁忌物</w:t>
            </w:r>
          </w:p>
        </w:tc>
        <w:tc>
          <w:tcPr>
            <w:tcW w:w="3288" w:type="dxa"/>
            <w:gridSpan w:val="7"/>
            <w:vAlign w:val="center"/>
          </w:tcPr>
          <w:p w14:paraId="2FDE5659">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强氧化剂、碱类</w:t>
            </w:r>
          </w:p>
        </w:tc>
        <w:tc>
          <w:tcPr>
            <w:tcW w:w="2209" w:type="dxa"/>
            <w:gridSpan w:val="4"/>
            <w:vAlign w:val="center"/>
          </w:tcPr>
          <w:p w14:paraId="4D2BF1D5">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燃烧（分解）产物</w:t>
            </w:r>
          </w:p>
        </w:tc>
        <w:tc>
          <w:tcPr>
            <w:tcW w:w="2425" w:type="dxa"/>
            <w:vAlign w:val="center"/>
          </w:tcPr>
          <w:p w14:paraId="7407ED33">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二氧化碳</w:t>
            </w:r>
          </w:p>
        </w:tc>
      </w:tr>
      <w:tr w14:paraId="127969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42" w:type="dxa"/>
            <w:gridSpan w:val="13"/>
            <w:vAlign w:val="center"/>
          </w:tcPr>
          <w:p w14:paraId="3808A857">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健康危害数据</w:t>
            </w:r>
          </w:p>
        </w:tc>
      </w:tr>
      <w:tr w14:paraId="4A94D4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20" w:type="dxa"/>
            <w:vAlign w:val="center"/>
          </w:tcPr>
          <w:p w14:paraId="2C52A041">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侵入途径</w:t>
            </w:r>
          </w:p>
        </w:tc>
        <w:tc>
          <w:tcPr>
            <w:tcW w:w="1151" w:type="dxa"/>
            <w:gridSpan w:val="3"/>
            <w:vAlign w:val="center"/>
          </w:tcPr>
          <w:p w14:paraId="4AF73968">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吸入</w:t>
            </w:r>
          </w:p>
        </w:tc>
        <w:tc>
          <w:tcPr>
            <w:tcW w:w="788" w:type="dxa"/>
            <w:gridSpan w:val="2"/>
            <w:vAlign w:val="center"/>
          </w:tcPr>
          <w:p w14:paraId="7CB9A6A9">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w:t>
            </w:r>
          </w:p>
        </w:tc>
        <w:tc>
          <w:tcPr>
            <w:tcW w:w="1349" w:type="dxa"/>
            <w:gridSpan w:val="2"/>
            <w:vAlign w:val="center"/>
          </w:tcPr>
          <w:p w14:paraId="76A96D93">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皮肤</w:t>
            </w:r>
          </w:p>
        </w:tc>
        <w:tc>
          <w:tcPr>
            <w:tcW w:w="958" w:type="dxa"/>
            <w:gridSpan w:val="2"/>
            <w:vAlign w:val="center"/>
          </w:tcPr>
          <w:p w14:paraId="17D37834">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p>
        </w:tc>
        <w:tc>
          <w:tcPr>
            <w:tcW w:w="1251" w:type="dxa"/>
            <w:gridSpan w:val="2"/>
            <w:vAlign w:val="center"/>
          </w:tcPr>
          <w:p w14:paraId="4D212A73">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口</w:t>
            </w:r>
          </w:p>
        </w:tc>
        <w:tc>
          <w:tcPr>
            <w:tcW w:w="2425" w:type="dxa"/>
            <w:vAlign w:val="center"/>
          </w:tcPr>
          <w:p w14:paraId="171BBE9F">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p>
        </w:tc>
      </w:tr>
      <w:tr w14:paraId="33ED83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20" w:type="dxa"/>
            <w:vAlign w:val="center"/>
          </w:tcPr>
          <w:p w14:paraId="6F6DEDAA">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急性毒性</w:t>
            </w:r>
          </w:p>
        </w:tc>
        <w:tc>
          <w:tcPr>
            <w:tcW w:w="1151" w:type="dxa"/>
            <w:gridSpan w:val="3"/>
            <w:vAlign w:val="center"/>
          </w:tcPr>
          <w:p w14:paraId="4469B75C">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LD</w:t>
            </w:r>
            <w:r>
              <w:rPr>
                <w:rFonts w:hint="eastAsia" w:ascii="宋体" w:hAnsi="宋体" w:eastAsia="宋体" w:cs="宋体"/>
                <w:color w:val="000000" w:themeColor="text1"/>
                <w:sz w:val="21"/>
                <w:szCs w:val="21"/>
                <w:vertAlign w:val="subscript"/>
                <w:lang w:val="zh-CN"/>
                <w14:textFill>
                  <w14:solidFill>
                    <w14:schemeClr w14:val="tx1"/>
                  </w14:solidFill>
                </w14:textFill>
              </w:rPr>
              <w:t>50</w:t>
            </w:r>
          </w:p>
        </w:tc>
        <w:tc>
          <w:tcPr>
            <w:tcW w:w="2137" w:type="dxa"/>
            <w:gridSpan w:val="4"/>
            <w:vAlign w:val="center"/>
          </w:tcPr>
          <w:p w14:paraId="30C2F81E">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无资料</w:t>
            </w:r>
          </w:p>
        </w:tc>
        <w:tc>
          <w:tcPr>
            <w:tcW w:w="958" w:type="dxa"/>
            <w:gridSpan w:val="2"/>
            <w:vAlign w:val="center"/>
          </w:tcPr>
          <w:p w14:paraId="23A40857">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LC</w:t>
            </w:r>
            <w:r>
              <w:rPr>
                <w:rFonts w:hint="eastAsia" w:ascii="宋体" w:hAnsi="宋体" w:eastAsia="宋体" w:cs="宋体"/>
                <w:color w:val="000000" w:themeColor="text1"/>
                <w:sz w:val="21"/>
                <w:szCs w:val="21"/>
                <w:vertAlign w:val="subscript"/>
                <w:lang w:val="zh-CN"/>
                <w14:textFill>
                  <w14:solidFill>
                    <w14:schemeClr w14:val="tx1"/>
                  </w14:solidFill>
                </w14:textFill>
              </w:rPr>
              <w:t>50</w:t>
            </w:r>
          </w:p>
        </w:tc>
        <w:tc>
          <w:tcPr>
            <w:tcW w:w="3676" w:type="dxa"/>
            <w:gridSpan w:val="3"/>
            <w:vAlign w:val="center"/>
          </w:tcPr>
          <w:p w14:paraId="3DD68183">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2069mg/m³，4小时（大鼠吸入）</w:t>
            </w:r>
          </w:p>
        </w:tc>
      </w:tr>
      <w:tr w14:paraId="7CDD7F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42" w:type="dxa"/>
            <w:gridSpan w:val="13"/>
          </w:tcPr>
          <w:p w14:paraId="043DFF72">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健康危害（急性和慢性）：一氧化碳在血中与血红蛋白结合而造成组织缺氧。</w:t>
            </w:r>
          </w:p>
          <w:p w14:paraId="6618FAC4">
            <w:pPr>
              <w:snapToGrid w:val="0"/>
              <w:spacing w:line="320" w:lineRule="exact"/>
              <w:ind w:firstLine="420" w:firstLineChars="200"/>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急性中毒：轻度中毒者出现头痛、头晕、耳鸣、心悸、恶心、呕吐、无力，血液碳氧血红蛋白浓度可高于10%，中度中毒者除上述症状外，还有皮肤粘膜呈樱红色、脉快、烦躁、步态不稳、浅至中度昏迷，血液碳氧血红蛋白浓度可高于30％；重度患者深度昏迷、瞳孔缩小、肌张力增强、频繁抽搐、大小便失禁、休克、肺水肿、严重心肌损害等，血液碳氧血红蛋白可高于50%。部分患者昏迷苏醒后，约经2～60天的症状缓解期后，又可能出现迟发性脑病，以意识精神障碍、锥体系或锥体外系损害为主。</w:t>
            </w:r>
          </w:p>
          <w:p w14:paraId="00F5922A">
            <w:pPr>
              <w:snapToGrid w:val="0"/>
              <w:spacing w:line="320" w:lineRule="exact"/>
              <w:ind w:firstLine="420" w:firstLineChars="20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慢性影响：能否造成慢性中毒及对心血管影响无定论。</w:t>
            </w:r>
          </w:p>
        </w:tc>
      </w:tr>
      <w:tr w14:paraId="074B31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42" w:type="dxa"/>
            <w:gridSpan w:val="13"/>
          </w:tcPr>
          <w:p w14:paraId="21EE86BB">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泄漏紧急处理：</w:t>
            </w:r>
            <w:r>
              <w:rPr>
                <w:rFonts w:hint="eastAsia" w:ascii="宋体" w:hAnsi="宋体" w:eastAsia="宋体" w:cs="宋体"/>
                <w:color w:val="000000" w:themeColor="text1"/>
                <w:sz w:val="21"/>
                <w:szCs w:val="21"/>
                <w14:textFill>
                  <w14:solidFill>
                    <w14:schemeClr w14:val="tx1"/>
                  </w14:solidFill>
                </w14:textFill>
              </w:rPr>
              <w:t>迅速撤离泄漏污染区人员至上风处，并立即隔离150m，严格限制出入。切断火源。建议应急处理人员戴自给正压式呼吸器，穿消防防护服。尽可能切断泄漏源。合理通风，加速扩散。喷雾状水稀释、溶解。构筑围堤或挖坑收容产生的大量废水。如有可能，将漏出气用排风机送至空旷地方或装设适当喷头烧掉。也可以用管路导至炉中、凹地焚之。漏气容器要妥善处理，修复、检验后再用。</w:t>
            </w:r>
          </w:p>
        </w:tc>
      </w:tr>
      <w:tr w14:paraId="00A433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42" w:type="dxa"/>
            <w:gridSpan w:val="13"/>
          </w:tcPr>
          <w:p w14:paraId="2EBEB550">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储运注意事项</w:t>
            </w:r>
          </w:p>
          <w:p w14:paraId="0EFD6EA6">
            <w:pPr>
              <w:snapToGrid w:val="0"/>
              <w:spacing w:line="320" w:lineRule="exact"/>
              <w:ind w:firstLine="420" w:firstLineChars="200"/>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易燃有毒的压缩气体。储存于阴凉、通风仓间内。远离火种、热源，防止阳光直射。应与氧气、压缩空气、氧化剂等分开存放。切忌混储混运。储存间内的照明、通风等设施应采用防爆型，开关设在仓外。配备相应品种和数量的消防器材。禁止使用易产生火花的机械设备和工具。验收时要注意品名，注意验瓶日期，先进仓的先发用。搬运时轻装轻卸，防止钢瓶及附件破损。运输按规定路线行驶，勿在居民区和人口稠密区停留。</w:t>
            </w:r>
          </w:p>
        </w:tc>
      </w:tr>
      <w:tr w14:paraId="76FFB4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42" w:type="dxa"/>
            <w:gridSpan w:val="13"/>
          </w:tcPr>
          <w:p w14:paraId="3DF3211D">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防护措施</w:t>
            </w:r>
          </w:p>
        </w:tc>
      </w:tr>
      <w:tr w14:paraId="3FE949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54" w:type="dxa"/>
            <w:gridSpan w:val="2"/>
            <w:vAlign w:val="center"/>
          </w:tcPr>
          <w:p w14:paraId="3D199628">
            <w:pPr>
              <w:spacing w:line="32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职业接触限值</w:t>
            </w:r>
          </w:p>
        </w:tc>
        <w:tc>
          <w:tcPr>
            <w:tcW w:w="7788" w:type="dxa"/>
            <w:gridSpan w:val="11"/>
            <w:vAlign w:val="center"/>
          </w:tcPr>
          <w:p w14:paraId="6603C4B8">
            <w:pPr>
              <w:snapToGrid w:val="0"/>
              <w:spacing w:line="32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PC-TWA：20mg/m³；PC-STEL：30mg/m³</w:t>
            </w:r>
          </w:p>
        </w:tc>
      </w:tr>
      <w:tr w14:paraId="064F5F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54" w:type="dxa"/>
            <w:gridSpan w:val="2"/>
            <w:vAlign w:val="center"/>
          </w:tcPr>
          <w:p w14:paraId="17036AA2">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工程控制</w:t>
            </w:r>
          </w:p>
        </w:tc>
        <w:tc>
          <w:tcPr>
            <w:tcW w:w="7788" w:type="dxa"/>
            <w:gridSpan w:val="11"/>
            <w:vAlign w:val="center"/>
          </w:tcPr>
          <w:p w14:paraId="4DFFE74F">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严加密闭，提供充分的局部排风和全面通风。生产生活用气必须分路。</w:t>
            </w:r>
          </w:p>
        </w:tc>
      </w:tr>
      <w:tr w14:paraId="6906E5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54" w:type="dxa"/>
            <w:gridSpan w:val="2"/>
            <w:vAlign w:val="center"/>
          </w:tcPr>
          <w:p w14:paraId="355966FC">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呼吸系统防护</w:t>
            </w:r>
          </w:p>
        </w:tc>
        <w:tc>
          <w:tcPr>
            <w:tcW w:w="3649" w:type="dxa"/>
            <w:gridSpan w:val="7"/>
            <w:vAlign w:val="center"/>
          </w:tcPr>
          <w:p w14:paraId="14D17760">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空气中浓度超标时，佩戴自吸过滤式防毒面具（半面罩）。紧急事态抢救或撤离时，建议佩戴空气呼吸器、一氧化碳过滤式自救器。</w:t>
            </w:r>
          </w:p>
        </w:tc>
        <w:tc>
          <w:tcPr>
            <w:tcW w:w="1302" w:type="dxa"/>
            <w:gridSpan w:val="2"/>
            <w:vAlign w:val="center"/>
          </w:tcPr>
          <w:p w14:paraId="0D9056E9">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身体防护</w:t>
            </w:r>
          </w:p>
        </w:tc>
        <w:tc>
          <w:tcPr>
            <w:tcW w:w="2837" w:type="dxa"/>
            <w:gridSpan w:val="2"/>
            <w:vAlign w:val="center"/>
          </w:tcPr>
          <w:p w14:paraId="58D051DE">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穿防静电工作服</w:t>
            </w:r>
          </w:p>
        </w:tc>
      </w:tr>
      <w:tr w14:paraId="1D3865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54" w:type="dxa"/>
            <w:gridSpan w:val="2"/>
            <w:vAlign w:val="center"/>
          </w:tcPr>
          <w:p w14:paraId="370335FB">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手防护</w:t>
            </w:r>
          </w:p>
        </w:tc>
        <w:tc>
          <w:tcPr>
            <w:tcW w:w="3649" w:type="dxa"/>
            <w:gridSpan w:val="7"/>
            <w:vAlign w:val="center"/>
          </w:tcPr>
          <w:p w14:paraId="4231ECF6">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戴一般作业防护手套。</w:t>
            </w:r>
          </w:p>
        </w:tc>
        <w:tc>
          <w:tcPr>
            <w:tcW w:w="1302" w:type="dxa"/>
            <w:gridSpan w:val="2"/>
            <w:vAlign w:val="center"/>
          </w:tcPr>
          <w:p w14:paraId="20D5B1EF">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眼防护</w:t>
            </w:r>
          </w:p>
        </w:tc>
        <w:tc>
          <w:tcPr>
            <w:tcW w:w="2837" w:type="dxa"/>
            <w:gridSpan w:val="2"/>
            <w:vAlign w:val="center"/>
          </w:tcPr>
          <w:p w14:paraId="44609F9F">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一般不需要，高浓度时可戴安全防护眼镜。</w:t>
            </w:r>
          </w:p>
        </w:tc>
      </w:tr>
      <w:tr w14:paraId="7E741E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54" w:type="dxa"/>
            <w:gridSpan w:val="2"/>
            <w:vAlign w:val="center"/>
          </w:tcPr>
          <w:p w14:paraId="641974BE">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其它</w:t>
            </w:r>
          </w:p>
        </w:tc>
        <w:tc>
          <w:tcPr>
            <w:tcW w:w="7788" w:type="dxa"/>
            <w:gridSpan w:val="11"/>
            <w:vAlign w:val="center"/>
          </w:tcPr>
          <w:p w14:paraId="3FC17552">
            <w:pPr>
              <w:snapToGrid w:val="0"/>
              <w:spacing w:line="320" w:lineRule="exact"/>
              <w:jc w:val="left"/>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工作现场严禁吸烟。实行就业前和定期的体检。避免高浓度吸人。进入罐、限制性空间或其它高浓度区作业，须有人监护。</w:t>
            </w:r>
          </w:p>
        </w:tc>
      </w:tr>
      <w:bookmarkEnd w:id="368"/>
      <w:bookmarkEnd w:id="369"/>
    </w:tbl>
    <w:p w14:paraId="6A0EC2CD">
      <w:pPr>
        <w:adjustRightInd w:val="0"/>
        <w:snapToGrid w:val="0"/>
        <w:spacing w:line="500" w:lineRule="exact"/>
        <w:jc w:val="center"/>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表3-7 石灰理化特性表</w:t>
      </w:r>
    </w:p>
    <w:tbl>
      <w:tblPr>
        <w:tblStyle w:val="51"/>
        <w:tblW w:w="9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859"/>
        <w:gridCol w:w="2412"/>
        <w:gridCol w:w="2089"/>
        <w:gridCol w:w="2613"/>
      </w:tblGrid>
      <w:tr w14:paraId="7E29D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restart"/>
            <w:vAlign w:val="center"/>
          </w:tcPr>
          <w:p w14:paraId="3A3F33F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标识</w:t>
            </w:r>
          </w:p>
        </w:tc>
        <w:tc>
          <w:tcPr>
            <w:tcW w:w="1859" w:type="dxa"/>
            <w:vAlign w:val="center"/>
          </w:tcPr>
          <w:p w14:paraId="047F90A7">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中文名：</w:t>
            </w:r>
            <w:r>
              <w:rPr>
                <w:rFonts w:hint="eastAsia" w:ascii="宋体" w:hAnsi="宋体" w:eastAsia="宋体" w:cs="宋体"/>
                <w:bCs/>
                <w:color w:val="000000" w:themeColor="text1"/>
                <w:sz w:val="21"/>
                <w:szCs w:val="21"/>
                <w14:textFill>
                  <w14:solidFill>
                    <w14:schemeClr w14:val="tx1"/>
                  </w14:solidFill>
                </w14:textFill>
              </w:rPr>
              <w:t>氧化钙</w:t>
            </w:r>
          </w:p>
        </w:tc>
        <w:tc>
          <w:tcPr>
            <w:tcW w:w="2412" w:type="dxa"/>
            <w:tcBorders>
              <w:bottom w:val="single" w:color="auto" w:sz="4" w:space="0"/>
            </w:tcBorders>
            <w:vAlign w:val="center"/>
          </w:tcPr>
          <w:p w14:paraId="10AA1E80">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英文名</w:t>
            </w:r>
            <w:r>
              <w:rPr>
                <w:rFonts w:hint="eastAsia" w:ascii="宋体" w:hAnsi="宋体" w:eastAsia="宋体" w:cs="宋体"/>
                <w:color w:val="000000" w:themeColor="text1"/>
                <w:spacing w:val="-1"/>
                <w:kern w:val="0"/>
                <w:sz w:val="21"/>
                <w:szCs w:val="21"/>
                <w:lang w:val="en-GB"/>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calcium oxide</w:t>
            </w:r>
          </w:p>
        </w:tc>
        <w:tc>
          <w:tcPr>
            <w:tcW w:w="2089" w:type="dxa"/>
            <w:tcBorders>
              <w:bottom w:val="single" w:color="auto" w:sz="4" w:space="0"/>
            </w:tcBorders>
            <w:vAlign w:val="center"/>
          </w:tcPr>
          <w:p w14:paraId="689AD24A">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分子式</w:t>
            </w:r>
            <w:r>
              <w:rPr>
                <w:rFonts w:hint="eastAsia" w:ascii="宋体" w:hAnsi="宋体" w:eastAsia="宋体" w:cs="宋体"/>
                <w:color w:val="000000" w:themeColor="text1"/>
                <w:spacing w:val="-1"/>
                <w:kern w:val="0"/>
                <w:sz w:val="21"/>
                <w:szCs w:val="21"/>
                <w:lang w:val="en-GB"/>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C15H16O2</w:t>
            </w:r>
          </w:p>
        </w:tc>
        <w:tc>
          <w:tcPr>
            <w:tcW w:w="2613" w:type="dxa"/>
            <w:tcBorders>
              <w:bottom w:val="single" w:color="auto" w:sz="4" w:space="0"/>
            </w:tcBorders>
            <w:vAlign w:val="center"/>
          </w:tcPr>
          <w:p w14:paraId="4FEE54B1">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分子量：</w:t>
            </w:r>
            <w:r>
              <w:rPr>
                <w:rFonts w:hint="eastAsia" w:ascii="宋体" w:hAnsi="宋体" w:eastAsia="宋体" w:cs="宋体"/>
                <w:color w:val="000000" w:themeColor="text1"/>
                <w:sz w:val="21"/>
                <w:szCs w:val="21"/>
                <w14:textFill>
                  <w14:solidFill>
                    <w14:schemeClr w14:val="tx1"/>
                  </w14:solidFill>
                </w14:textFill>
              </w:rPr>
              <w:t>228.29</w:t>
            </w:r>
          </w:p>
        </w:tc>
      </w:tr>
      <w:tr w14:paraId="4D369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tcBorders>
              <w:bottom w:val="single" w:color="auto" w:sz="4" w:space="0"/>
            </w:tcBorders>
            <w:vAlign w:val="center"/>
          </w:tcPr>
          <w:p w14:paraId="60F3B87B">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1859" w:type="dxa"/>
            <w:tcBorders>
              <w:bottom w:val="single" w:color="auto" w:sz="4" w:space="0"/>
            </w:tcBorders>
            <w:vAlign w:val="center"/>
          </w:tcPr>
          <w:p w14:paraId="3096EF94">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危规号：</w:t>
            </w:r>
            <w:r>
              <w:rPr>
                <w:rFonts w:hint="eastAsia" w:ascii="宋体" w:hAnsi="宋体" w:eastAsia="宋体" w:cs="宋体"/>
                <w:color w:val="000000" w:themeColor="text1"/>
                <w:sz w:val="21"/>
                <w:szCs w:val="21"/>
                <w14:textFill>
                  <w14:solidFill>
                    <w14:schemeClr w14:val="tx1"/>
                  </w14:solidFill>
                </w14:textFill>
              </w:rPr>
              <w:t>无资料</w:t>
            </w:r>
          </w:p>
        </w:tc>
        <w:tc>
          <w:tcPr>
            <w:tcW w:w="2412" w:type="dxa"/>
            <w:tcBorders>
              <w:bottom w:val="single" w:color="auto" w:sz="4" w:space="0"/>
            </w:tcBorders>
            <w:vAlign w:val="center"/>
          </w:tcPr>
          <w:p w14:paraId="34211625">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UN编号：</w:t>
            </w:r>
            <w:r>
              <w:rPr>
                <w:rFonts w:hint="eastAsia" w:ascii="宋体" w:hAnsi="宋体" w:eastAsia="宋体" w:cs="宋体"/>
                <w:color w:val="000000" w:themeColor="text1"/>
                <w:sz w:val="21"/>
                <w:szCs w:val="21"/>
                <w14:textFill>
                  <w14:solidFill>
                    <w14:schemeClr w14:val="tx1"/>
                  </w14:solidFill>
                </w14:textFill>
              </w:rPr>
              <w:t>无资料</w:t>
            </w:r>
          </w:p>
        </w:tc>
        <w:tc>
          <w:tcPr>
            <w:tcW w:w="4702" w:type="dxa"/>
            <w:gridSpan w:val="2"/>
            <w:tcBorders>
              <w:bottom w:val="single" w:color="auto" w:sz="4" w:space="0"/>
            </w:tcBorders>
            <w:vAlign w:val="center"/>
          </w:tcPr>
          <w:p w14:paraId="51DA8985">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CAS 号：</w:t>
            </w:r>
            <w:r>
              <w:rPr>
                <w:rFonts w:hint="eastAsia" w:ascii="宋体" w:hAnsi="宋体" w:eastAsia="宋体" w:cs="宋体"/>
                <w:color w:val="000000" w:themeColor="text1"/>
                <w:sz w:val="21"/>
                <w:szCs w:val="21"/>
                <w14:textFill>
                  <w14:solidFill>
                    <w14:schemeClr w14:val="tx1"/>
                  </w14:solidFill>
                </w14:textFill>
              </w:rPr>
              <w:t>1305-78-8</w:t>
            </w:r>
          </w:p>
        </w:tc>
      </w:tr>
      <w:tr w14:paraId="248F9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restart"/>
            <w:vAlign w:val="center"/>
          </w:tcPr>
          <w:p w14:paraId="441A03CB">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理化性质</w:t>
            </w:r>
          </w:p>
        </w:tc>
        <w:tc>
          <w:tcPr>
            <w:tcW w:w="8973" w:type="dxa"/>
            <w:gridSpan w:val="4"/>
            <w:vAlign w:val="center"/>
          </w:tcPr>
          <w:p w14:paraId="01B99845">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性状：</w:t>
            </w:r>
            <w:r>
              <w:rPr>
                <w:rFonts w:hint="eastAsia" w:ascii="宋体" w:hAnsi="宋体" w:eastAsia="宋体" w:cs="宋体"/>
                <w:color w:val="000000" w:themeColor="text1"/>
                <w:sz w:val="21"/>
                <w:szCs w:val="21"/>
                <w14:textFill>
                  <w14:solidFill>
                    <w14:schemeClr w14:val="tx1"/>
                  </w14:solidFill>
                </w14:textFill>
              </w:rPr>
              <w:t>白色、有酚味、片状晶体。</w:t>
            </w:r>
          </w:p>
        </w:tc>
      </w:tr>
      <w:tr w14:paraId="675BE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vAlign w:val="center"/>
          </w:tcPr>
          <w:p w14:paraId="07DD501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1859" w:type="dxa"/>
            <w:vAlign w:val="center"/>
          </w:tcPr>
          <w:p w14:paraId="628BE9D4">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熔点／℃：</w:t>
            </w:r>
            <w:r>
              <w:rPr>
                <w:rFonts w:hint="eastAsia" w:ascii="宋体" w:hAnsi="宋体" w:eastAsia="宋体" w:cs="宋体"/>
                <w:color w:val="000000" w:themeColor="text1"/>
                <w:sz w:val="21"/>
                <w:szCs w:val="21"/>
                <w14:textFill>
                  <w14:solidFill>
                    <w14:schemeClr w14:val="tx1"/>
                  </w14:solidFill>
                </w14:textFill>
              </w:rPr>
              <w:t>158-159℃</w:t>
            </w:r>
          </w:p>
        </w:tc>
        <w:tc>
          <w:tcPr>
            <w:tcW w:w="7114" w:type="dxa"/>
            <w:gridSpan w:val="3"/>
            <w:vAlign w:val="center"/>
          </w:tcPr>
          <w:p w14:paraId="3C6B0BD4">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溶解性：</w:t>
            </w:r>
            <w:r>
              <w:rPr>
                <w:rFonts w:hint="eastAsia" w:ascii="宋体" w:hAnsi="宋体" w:eastAsia="宋体" w:cs="宋体"/>
                <w:color w:val="000000" w:themeColor="text1"/>
                <w:sz w:val="21"/>
                <w:szCs w:val="21"/>
                <w14:textFill>
                  <w14:solidFill>
                    <w14:schemeClr w14:val="tx1"/>
                  </w14:solidFill>
                </w14:textFill>
              </w:rPr>
              <w:t>不溶于水，微溶于四氯化碳，溶于乙醇、碱液。</w:t>
            </w:r>
          </w:p>
        </w:tc>
      </w:tr>
      <w:tr w14:paraId="083D8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vAlign w:val="center"/>
          </w:tcPr>
          <w:p w14:paraId="572D7D9B">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4271" w:type="dxa"/>
            <w:gridSpan w:val="2"/>
            <w:vAlign w:val="center"/>
          </w:tcPr>
          <w:p w14:paraId="65ACB330">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沸点／℃：</w:t>
            </w:r>
            <w:r>
              <w:rPr>
                <w:rFonts w:hint="eastAsia" w:ascii="宋体" w:hAnsi="宋体" w:eastAsia="宋体" w:cs="宋体"/>
                <w:color w:val="000000" w:themeColor="text1"/>
                <w:sz w:val="21"/>
                <w:szCs w:val="21"/>
                <w14:textFill>
                  <w14:solidFill>
                    <w14:schemeClr w14:val="tx1"/>
                  </w14:solidFill>
                </w14:textFill>
              </w:rPr>
              <w:t>220℃</w:t>
            </w:r>
          </w:p>
        </w:tc>
        <w:tc>
          <w:tcPr>
            <w:tcW w:w="4702" w:type="dxa"/>
            <w:gridSpan w:val="2"/>
            <w:vAlign w:val="center"/>
          </w:tcPr>
          <w:p w14:paraId="50E4CD13">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相对密度(水=1)：</w:t>
            </w:r>
            <w:r>
              <w:rPr>
                <w:rFonts w:hint="eastAsia" w:ascii="宋体" w:hAnsi="宋体" w:eastAsia="宋体" w:cs="宋体"/>
                <w:color w:val="000000" w:themeColor="text1"/>
                <w:sz w:val="21"/>
                <w:szCs w:val="21"/>
                <w14:textFill>
                  <w14:solidFill>
                    <w14:schemeClr w14:val="tx1"/>
                  </w14:solidFill>
                </w14:textFill>
              </w:rPr>
              <w:t>1.20</w:t>
            </w:r>
          </w:p>
        </w:tc>
      </w:tr>
      <w:tr w14:paraId="41323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vAlign w:val="center"/>
          </w:tcPr>
          <w:p w14:paraId="1997BE6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4271" w:type="dxa"/>
            <w:gridSpan w:val="2"/>
            <w:vAlign w:val="center"/>
          </w:tcPr>
          <w:p w14:paraId="632E6FDA">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饱和蒸气压／kPa：</w:t>
            </w:r>
            <w:r>
              <w:rPr>
                <w:rFonts w:hint="eastAsia" w:ascii="宋体" w:hAnsi="宋体" w:eastAsia="宋体" w:cs="宋体"/>
                <w:color w:val="000000" w:themeColor="text1"/>
                <w:sz w:val="21"/>
                <w:szCs w:val="21"/>
                <w14:textFill>
                  <w14:solidFill>
                    <w14:schemeClr w14:val="tx1"/>
                  </w14:solidFill>
                </w14:textFill>
              </w:rPr>
              <w:t>0.13kPa(145.8℃)</w:t>
            </w:r>
          </w:p>
        </w:tc>
        <w:tc>
          <w:tcPr>
            <w:tcW w:w="4702" w:type="dxa"/>
            <w:gridSpan w:val="2"/>
            <w:vAlign w:val="center"/>
          </w:tcPr>
          <w:p w14:paraId="4D3C5845">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相对密度(空气=1)：无资料</w:t>
            </w:r>
          </w:p>
        </w:tc>
      </w:tr>
      <w:tr w14:paraId="042AD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vAlign w:val="center"/>
          </w:tcPr>
          <w:p w14:paraId="3DAD67BC">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4271" w:type="dxa"/>
            <w:gridSpan w:val="2"/>
            <w:vAlign w:val="center"/>
          </w:tcPr>
          <w:p w14:paraId="713785FD">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临界温度／℃：无资料</w:t>
            </w:r>
          </w:p>
        </w:tc>
        <w:tc>
          <w:tcPr>
            <w:tcW w:w="4702" w:type="dxa"/>
            <w:gridSpan w:val="2"/>
            <w:vAlign w:val="center"/>
          </w:tcPr>
          <w:p w14:paraId="390702FC">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燃烧热(kJ·mol)：无资料</w:t>
            </w:r>
          </w:p>
        </w:tc>
      </w:tr>
      <w:tr w14:paraId="74813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vAlign w:val="center"/>
          </w:tcPr>
          <w:p w14:paraId="32AB4E76">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4271" w:type="dxa"/>
            <w:gridSpan w:val="2"/>
            <w:vAlign w:val="center"/>
          </w:tcPr>
          <w:p w14:paraId="345D975A">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临界压力／Hpa：无资料</w:t>
            </w:r>
          </w:p>
        </w:tc>
        <w:tc>
          <w:tcPr>
            <w:tcW w:w="4702" w:type="dxa"/>
            <w:gridSpan w:val="2"/>
            <w:vAlign w:val="center"/>
          </w:tcPr>
          <w:p w14:paraId="56FF87F5">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最小引燃能量／mJ：无意义</w:t>
            </w:r>
          </w:p>
        </w:tc>
      </w:tr>
      <w:tr w14:paraId="36D7D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restart"/>
            <w:vAlign w:val="center"/>
          </w:tcPr>
          <w:p w14:paraId="295B317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燃烧爆炸危险性</w:t>
            </w:r>
          </w:p>
        </w:tc>
        <w:tc>
          <w:tcPr>
            <w:tcW w:w="4271" w:type="dxa"/>
            <w:gridSpan w:val="2"/>
            <w:vAlign w:val="center"/>
          </w:tcPr>
          <w:p w14:paraId="7BFADEA2">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燃烧性：</w:t>
            </w:r>
            <w:r>
              <w:rPr>
                <w:rFonts w:hint="eastAsia" w:ascii="宋体" w:hAnsi="宋体" w:eastAsia="宋体" w:cs="宋体"/>
                <w:color w:val="000000" w:themeColor="text1"/>
                <w:sz w:val="21"/>
                <w:szCs w:val="21"/>
                <w14:textFill>
                  <w14:solidFill>
                    <w14:schemeClr w14:val="tx1"/>
                  </w14:solidFill>
                </w14:textFill>
              </w:rPr>
              <w:t>第8.2类  碱性腐蚀品</w:t>
            </w:r>
          </w:p>
        </w:tc>
        <w:tc>
          <w:tcPr>
            <w:tcW w:w="4702" w:type="dxa"/>
            <w:gridSpan w:val="2"/>
            <w:vAlign w:val="center"/>
          </w:tcPr>
          <w:p w14:paraId="372B7A69">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燃烧分解产物：</w:t>
            </w:r>
            <w:r>
              <w:rPr>
                <w:rFonts w:hint="eastAsia" w:ascii="宋体" w:hAnsi="宋体" w:eastAsia="宋体" w:cs="宋体"/>
                <w:color w:val="000000" w:themeColor="text1"/>
                <w:sz w:val="21"/>
                <w:szCs w:val="21"/>
                <w14:textFill>
                  <w14:solidFill>
                    <w14:schemeClr w14:val="tx1"/>
                  </w14:solidFill>
                </w14:textFill>
              </w:rPr>
              <w:t>氧化钙。</w:t>
            </w:r>
          </w:p>
        </w:tc>
      </w:tr>
      <w:tr w14:paraId="158C6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vAlign w:val="center"/>
          </w:tcPr>
          <w:p w14:paraId="131A0B3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4271" w:type="dxa"/>
            <w:gridSpan w:val="2"/>
            <w:vAlign w:val="center"/>
          </w:tcPr>
          <w:p w14:paraId="63BB4802">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闪点／℃：无资料</w:t>
            </w:r>
          </w:p>
        </w:tc>
        <w:tc>
          <w:tcPr>
            <w:tcW w:w="4702" w:type="dxa"/>
            <w:gridSpan w:val="2"/>
            <w:vAlign w:val="center"/>
          </w:tcPr>
          <w:p w14:paraId="3BB89A88">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聚合危害：不聚合</w:t>
            </w:r>
          </w:p>
        </w:tc>
      </w:tr>
      <w:tr w14:paraId="14392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vAlign w:val="center"/>
          </w:tcPr>
          <w:p w14:paraId="5E558E6B">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4271" w:type="dxa"/>
            <w:gridSpan w:val="2"/>
            <w:vAlign w:val="center"/>
          </w:tcPr>
          <w:p w14:paraId="531EA488">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爆炸极限(体积分数)／％：</w:t>
            </w:r>
            <w:r>
              <w:rPr>
                <w:rFonts w:hint="eastAsia" w:ascii="宋体" w:hAnsi="宋体" w:eastAsia="宋体" w:cs="宋体"/>
                <w:color w:val="000000" w:themeColor="text1"/>
                <w:sz w:val="21"/>
                <w:szCs w:val="21"/>
                <w14:textFill>
                  <w14:solidFill>
                    <w14:schemeClr w14:val="tx1"/>
                  </w14:solidFill>
                </w14:textFill>
              </w:rPr>
              <w:t>20(g/m3 )%～</w:t>
            </w:r>
            <w:r>
              <w:rPr>
                <w:rFonts w:hint="eastAsia" w:ascii="宋体" w:hAnsi="宋体" w:eastAsia="宋体" w:cs="宋体"/>
                <w:color w:val="000000" w:themeColor="text1"/>
                <w:spacing w:val="-1"/>
                <w:kern w:val="0"/>
                <w:sz w:val="21"/>
                <w:szCs w:val="21"/>
                <w14:textFill>
                  <w14:solidFill>
                    <w14:schemeClr w14:val="tx1"/>
                  </w14:solidFill>
                </w14:textFill>
              </w:rPr>
              <w:t>无资料</w:t>
            </w:r>
          </w:p>
        </w:tc>
        <w:tc>
          <w:tcPr>
            <w:tcW w:w="4702" w:type="dxa"/>
            <w:gridSpan w:val="2"/>
            <w:vAlign w:val="center"/>
          </w:tcPr>
          <w:p w14:paraId="047AC41E">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稳定性： 稳定</w:t>
            </w:r>
          </w:p>
        </w:tc>
      </w:tr>
      <w:tr w14:paraId="4587C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vAlign w:val="center"/>
          </w:tcPr>
          <w:p w14:paraId="675E07F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4271" w:type="dxa"/>
            <w:gridSpan w:val="2"/>
            <w:vAlign w:val="center"/>
          </w:tcPr>
          <w:p w14:paraId="670104A1">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引燃温度／℃：</w:t>
            </w:r>
            <w:r>
              <w:rPr>
                <w:rFonts w:hint="eastAsia" w:ascii="宋体" w:hAnsi="宋体" w:eastAsia="宋体" w:cs="宋体"/>
                <w:color w:val="000000" w:themeColor="text1"/>
                <w:sz w:val="21"/>
                <w:szCs w:val="21"/>
                <w14:textFill>
                  <w14:solidFill>
                    <w14:schemeClr w14:val="tx1"/>
                  </w14:solidFill>
                </w14:textFill>
              </w:rPr>
              <w:t>570(粉云)</w:t>
            </w:r>
            <w:r>
              <w:rPr>
                <w:rFonts w:hint="eastAsia" w:ascii="宋体" w:hAnsi="宋体" w:eastAsia="宋体" w:cs="宋体"/>
                <w:color w:val="000000" w:themeColor="text1"/>
                <w:spacing w:val="-1"/>
                <w:kern w:val="0"/>
                <w:sz w:val="21"/>
                <w:szCs w:val="21"/>
                <w14:textFill>
                  <w14:solidFill>
                    <w14:schemeClr w14:val="tx1"/>
                  </w14:solidFill>
                </w14:textFill>
              </w:rPr>
              <w:t>℃</w:t>
            </w:r>
          </w:p>
        </w:tc>
        <w:tc>
          <w:tcPr>
            <w:tcW w:w="4702" w:type="dxa"/>
            <w:gridSpan w:val="2"/>
            <w:vAlign w:val="center"/>
          </w:tcPr>
          <w:p w14:paraId="41AE114D">
            <w:pPr>
              <w:adjustRightInd w:val="0"/>
              <w:snapToGrid w:val="0"/>
              <w:spacing w:line="300" w:lineRule="exact"/>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kern w:val="0"/>
                <w:sz w:val="21"/>
                <w:szCs w:val="21"/>
                <w14:textFill>
                  <w14:solidFill>
                    <w14:schemeClr w14:val="tx1"/>
                  </w14:solidFill>
                </w14:textFill>
              </w:rPr>
              <w:t>禁忌物：</w:t>
            </w:r>
            <w:r>
              <w:rPr>
                <w:rFonts w:hint="eastAsia" w:ascii="宋体" w:hAnsi="宋体" w:eastAsia="宋体" w:cs="宋体"/>
                <w:color w:val="000000" w:themeColor="text1"/>
                <w:sz w:val="21"/>
                <w:szCs w:val="21"/>
                <w14:textFill>
                  <w14:solidFill>
                    <w14:schemeClr w14:val="tx1"/>
                  </w14:solidFill>
                </w14:textFill>
              </w:rPr>
              <w:t>强氧化剂、强碱、酰基氯、酸酐。</w:t>
            </w:r>
          </w:p>
        </w:tc>
      </w:tr>
      <w:tr w14:paraId="2FB20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vAlign w:val="center"/>
          </w:tcPr>
          <w:p w14:paraId="6B2C75C0">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8973" w:type="dxa"/>
            <w:gridSpan w:val="4"/>
            <w:vAlign w:val="center"/>
          </w:tcPr>
          <w:p w14:paraId="5BC7E886">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危险特性：</w:t>
            </w:r>
            <w:r>
              <w:rPr>
                <w:rFonts w:hint="eastAsia" w:ascii="宋体" w:hAnsi="宋体" w:eastAsia="宋体" w:cs="宋体"/>
                <w:color w:val="000000" w:themeColor="text1"/>
                <w:sz w:val="21"/>
                <w:szCs w:val="21"/>
                <w14:textFill>
                  <w14:solidFill>
                    <w14:schemeClr w14:val="tx1"/>
                  </w14:solidFill>
                </w14:textFill>
              </w:rPr>
              <w:t>本品不燃，具腐蚀性、刺激性，可致人体灼伤。与酸类物质能发生剧烈反应。具有较强的腐蚀性。</w:t>
            </w:r>
          </w:p>
        </w:tc>
      </w:tr>
      <w:tr w14:paraId="13A64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7" w:type="dxa"/>
            <w:vMerge w:val="continue"/>
            <w:vAlign w:val="center"/>
          </w:tcPr>
          <w:p w14:paraId="4F53C246">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8973" w:type="dxa"/>
            <w:gridSpan w:val="4"/>
            <w:vAlign w:val="center"/>
          </w:tcPr>
          <w:p w14:paraId="4B81BA3F">
            <w:pPr>
              <w:adjustRightInd w:val="0"/>
              <w:snapToGrid w:val="0"/>
              <w:spacing w:line="300" w:lineRule="exact"/>
              <w:rPr>
                <w:rFonts w:hint="eastAsia" w:ascii="宋体" w:hAnsi="宋体" w:eastAsia="宋体" w:cs="宋体"/>
                <w:color w:val="000000" w:themeColor="text1"/>
                <w:spacing w:val="-1"/>
                <w:kern w:val="0"/>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·灭火方法：</w:t>
            </w:r>
            <w:r>
              <w:rPr>
                <w:rFonts w:hint="eastAsia" w:ascii="宋体" w:hAnsi="宋体" w:eastAsia="宋体" w:cs="宋体"/>
                <w:color w:val="000000" w:themeColor="text1"/>
                <w:sz w:val="21"/>
                <w:szCs w:val="21"/>
                <w14:textFill>
                  <w14:solidFill>
                    <w14:schemeClr w14:val="tx1"/>
                  </w14:solidFill>
                </w14:textFill>
              </w:rPr>
              <w:t>采用干粉、二氧化碳、干砂灭火。</w:t>
            </w:r>
          </w:p>
        </w:tc>
      </w:tr>
      <w:tr w14:paraId="72484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dxa"/>
            <w:vAlign w:val="center"/>
          </w:tcPr>
          <w:p w14:paraId="41118C6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毒性</w:t>
            </w:r>
          </w:p>
        </w:tc>
        <w:tc>
          <w:tcPr>
            <w:tcW w:w="8973" w:type="dxa"/>
            <w:gridSpan w:val="4"/>
            <w:vAlign w:val="center"/>
          </w:tcPr>
          <w:p w14:paraId="5FC37F70">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LD</w:t>
            </w:r>
            <w:r>
              <w:rPr>
                <w:rFonts w:hint="eastAsia" w:ascii="宋体" w:hAnsi="宋体" w:eastAsia="宋体" w:cs="宋体"/>
                <w:b/>
                <w:bCs/>
                <w:color w:val="000000" w:themeColor="text1"/>
                <w:sz w:val="21"/>
                <w:szCs w:val="21"/>
                <w:vertAlign w:val="subscript"/>
                <w14:textFill>
                  <w14:solidFill>
                    <w14:schemeClr w14:val="tx1"/>
                  </w14:solidFill>
                </w14:textFill>
              </w:rPr>
              <w:t>50</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b/>
                <w:bCs/>
                <w:color w:val="000000" w:themeColor="text1"/>
                <w:sz w:val="21"/>
                <w:szCs w:val="21"/>
                <w14:textFill>
                  <w14:solidFill>
                    <w14:schemeClr w14:val="tx1"/>
                  </w14:solidFill>
                </w14:textFill>
              </w:rPr>
              <w:t>LD</w:t>
            </w:r>
            <w:r>
              <w:rPr>
                <w:rFonts w:hint="eastAsia" w:ascii="宋体" w:hAnsi="宋体" w:eastAsia="宋体" w:cs="宋体"/>
                <w:b/>
                <w:bCs/>
                <w:color w:val="000000" w:themeColor="text1"/>
                <w:sz w:val="21"/>
                <w:szCs w:val="21"/>
                <w:vertAlign w:val="subscript"/>
                <w14:textFill>
                  <w14:solidFill>
                    <w14:schemeClr w14:val="tx1"/>
                  </w14:solidFill>
                </w14:textFill>
              </w:rPr>
              <w:t>50</w:t>
            </w:r>
            <w:r>
              <w:rPr>
                <w:rFonts w:hint="eastAsia" w:ascii="宋体" w:hAnsi="宋体" w:eastAsia="宋体" w:cs="宋体"/>
                <w:color w:val="000000" w:themeColor="text1"/>
                <w:sz w:val="21"/>
                <w:szCs w:val="21"/>
                <w14:textFill>
                  <w14:solidFill>
                    <w14:schemeClr w14:val="tx1"/>
                  </w14:solidFill>
                </w14:textFill>
              </w:rPr>
              <w:t>：3250 mg/kg(大鼠经口)；3000 mg/kg(兔经皮)</w:t>
            </w:r>
          </w:p>
          <w:p w14:paraId="2A10F77E">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LC</w:t>
            </w:r>
            <w:r>
              <w:rPr>
                <w:rFonts w:hint="eastAsia" w:ascii="宋体" w:hAnsi="宋体" w:eastAsia="宋体" w:cs="宋体"/>
                <w:b/>
                <w:bCs/>
                <w:color w:val="000000" w:themeColor="text1"/>
                <w:sz w:val="21"/>
                <w:szCs w:val="21"/>
                <w:vertAlign w:val="subscript"/>
                <w14:textFill>
                  <w14:solidFill>
                    <w14:schemeClr w14:val="tx1"/>
                  </w14:solidFill>
                </w14:textFill>
              </w:rPr>
              <w:t>50</w:t>
            </w:r>
            <w:r>
              <w:rPr>
                <w:rFonts w:hint="eastAsia" w:ascii="宋体" w:hAnsi="宋体" w:eastAsia="宋体" w:cs="宋体"/>
                <w:b/>
                <w:bCs/>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无资料</w:t>
            </w:r>
          </w:p>
        </w:tc>
      </w:tr>
      <w:tr w14:paraId="047B4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dxa"/>
            <w:vAlign w:val="center"/>
          </w:tcPr>
          <w:p w14:paraId="1BF0612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健康危害</w:t>
            </w:r>
          </w:p>
        </w:tc>
        <w:tc>
          <w:tcPr>
            <w:tcW w:w="8973" w:type="dxa"/>
            <w:gridSpan w:val="4"/>
            <w:vAlign w:val="center"/>
          </w:tcPr>
          <w:p w14:paraId="4A440461">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侵入途径：吸入、食入。健康危害：本品属强碱，有刺激和腐蚀作用。对呼吸道有强烈刺激性，吸入本品粉尘可致化学性肺炎。对眼和皮肤有强烈刺激性，可致灼伤。口服刺激和灼伤消化道。长期接触本品可致手掌皮肤角化、皲裂、指甲变形（匙甲）。</w:t>
            </w:r>
          </w:p>
        </w:tc>
      </w:tr>
      <w:tr w14:paraId="5AFE5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dxa"/>
            <w:vAlign w:val="center"/>
          </w:tcPr>
          <w:p w14:paraId="25DD2042">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急救</w:t>
            </w:r>
          </w:p>
        </w:tc>
        <w:tc>
          <w:tcPr>
            <w:tcW w:w="8973" w:type="dxa"/>
            <w:gridSpan w:val="4"/>
            <w:vAlign w:val="center"/>
          </w:tcPr>
          <w:p w14:paraId="42302259">
            <w:pPr>
              <w:adjustRightInd w:val="0"/>
              <w:snapToGrid w:val="0"/>
              <w:spacing w:line="300" w:lineRule="exac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皮肤接触：</w:t>
            </w:r>
            <w:r>
              <w:rPr>
                <w:rFonts w:hint="eastAsia" w:ascii="宋体" w:hAnsi="宋体" w:eastAsia="宋体" w:cs="宋体"/>
                <w:color w:val="000000" w:themeColor="text1"/>
                <w:sz w:val="21"/>
                <w:szCs w:val="21"/>
                <w14:textFill>
                  <w14:solidFill>
                    <w14:schemeClr w14:val="tx1"/>
                  </w14:solidFill>
                </w14:textFill>
              </w:rPr>
              <w:t>立即脱去污染的衣着，先用植物油或矿物油清洗。用大量流动清水冲洗。就医。</w:t>
            </w:r>
          </w:p>
          <w:p w14:paraId="351723C0">
            <w:pPr>
              <w:adjustRightInd w:val="0"/>
              <w:snapToGrid w:val="0"/>
              <w:spacing w:line="300" w:lineRule="exac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眼睛接触：</w:t>
            </w:r>
            <w:r>
              <w:rPr>
                <w:rFonts w:hint="eastAsia" w:ascii="宋体" w:hAnsi="宋体" w:eastAsia="宋体" w:cs="宋体"/>
                <w:color w:val="000000" w:themeColor="text1"/>
                <w:sz w:val="21"/>
                <w:szCs w:val="21"/>
                <w14:textFill>
                  <w14:solidFill>
                    <w14:schemeClr w14:val="tx1"/>
                  </w14:solidFill>
                </w14:textFill>
              </w:rPr>
              <w:t>提起眼睑，用流动清水或生理盐水冲洗。就医。</w:t>
            </w:r>
          </w:p>
          <w:p w14:paraId="13378AD8">
            <w:pPr>
              <w:adjustRightInd w:val="0"/>
              <w:snapToGrid w:val="0"/>
              <w:spacing w:line="300" w:lineRule="exac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吸入：</w:t>
            </w:r>
            <w:r>
              <w:rPr>
                <w:rFonts w:hint="eastAsia" w:ascii="宋体" w:hAnsi="宋体" w:eastAsia="宋体" w:cs="宋体"/>
                <w:color w:val="000000" w:themeColor="text1"/>
                <w:sz w:val="21"/>
                <w:szCs w:val="21"/>
                <w14:textFill>
                  <w14:solidFill>
                    <w14:schemeClr w14:val="tx1"/>
                  </w14:solidFill>
                </w14:textFill>
              </w:rPr>
              <w:t>迅速脱离现场至空气新鲜处。保持呼吸道通畅。如呼吸困难，给输氧。如呼吸停止，立即进行人工呼吸。就医。</w:t>
            </w:r>
          </w:p>
          <w:p w14:paraId="3C98FA8B">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食入：</w:t>
            </w:r>
            <w:r>
              <w:rPr>
                <w:rFonts w:hint="eastAsia" w:ascii="宋体" w:hAnsi="宋体" w:eastAsia="宋体" w:cs="宋体"/>
                <w:color w:val="000000" w:themeColor="text1"/>
                <w:sz w:val="21"/>
                <w:szCs w:val="21"/>
                <w14:textFill>
                  <w14:solidFill>
                    <w14:schemeClr w14:val="tx1"/>
                  </w14:solidFill>
                </w14:textFill>
              </w:rPr>
              <w:t>用水漱口，给饮牛奶或蛋清。就医。</w:t>
            </w:r>
          </w:p>
        </w:tc>
      </w:tr>
      <w:tr w14:paraId="73AB8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dxa"/>
            <w:vAlign w:val="center"/>
          </w:tcPr>
          <w:p w14:paraId="40FB6FC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防护</w:t>
            </w:r>
          </w:p>
        </w:tc>
        <w:tc>
          <w:tcPr>
            <w:tcW w:w="8973" w:type="dxa"/>
            <w:gridSpan w:val="4"/>
            <w:vAlign w:val="center"/>
          </w:tcPr>
          <w:p w14:paraId="3FC5F4A6">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操作注意事项：</w:t>
            </w:r>
            <w:r>
              <w:rPr>
                <w:rFonts w:hint="eastAsia" w:ascii="宋体" w:hAnsi="宋体" w:eastAsia="宋体" w:cs="宋体"/>
                <w:color w:val="000000" w:themeColor="text1"/>
                <w:sz w:val="21"/>
                <w:szCs w:val="21"/>
                <w14:textFill>
                  <w14:solidFill>
                    <w14:schemeClr w14:val="tx1"/>
                  </w14:solidFill>
                </w14:textFill>
              </w:rPr>
              <w:t>密闭操作，提供充分的局部排风。操作人员必须经过专门培训，严格遵守操作规程。建议操作人员佩戴自吸过滤式防尘口罩，戴化学安全防护眼镜，穿防毒物渗透工作服，戴橡胶手套。远离火种、热源，工作场所严禁吸烟。使用防爆型的通风系统和设备。避免产生粉尘。避免与氧化剂、碱类接触。搬运时要轻装轻卸，防止包装及容器损坏。配备相应品种和数量的消防器材及泄漏应急处理设备。倒空的容器可能残留有害物。</w:t>
            </w:r>
          </w:p>
          <w:p w14:paraId="260BC329">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工作现场禁止吸烟、进食和饮水。及时换洗工作服。</w:t>
            </w:r>
          </w:p>
        </w:tc>
      </w:tr>
      <w:tr w14:paraId="6934F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dxa"/>
            <w:vAlign w:val="center"/>
          </w:tcPr>
          <w:p w14:paraId="7F62AB5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应急处理</w:t>
            </w:r>
          </w:p>
        </w:tc>
        <w:tc>
          <w:tcPr>
            <w:tcW w:w="8973" w:type="dxa"/>
            <w:gridSpan w:val="4"/>
            <w:vAlign w:val="center"/>
          </w:tcPr>
          <w:p w14:paraId="66D2AAB4">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隔离泄漏污染区，限制出入。建议应急处理人员戴防尘面具（全面罩），穿防酸碱工作服。不要直接接触泄漏物。小量泄漏：避免扬尘，用洁净的铲子收集于干燥、洁净、有盖的容器中。大量泄漏：喷雾状水控制粉尘，保护人员。</w:t>
            </w:r>
          </w:p>
        </w:tc>
      </w:tr>
      <w:tr w14:paraId="68879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dxa"/>
            <w:vAlign w:val="center"/>
          </w:tcPr>
          <w:p w14:paraId="7CE49C7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kern w:val="0"/>
                <w:sz w:val="21"/>
                <w:szCs w:val="21"/>
                <w14:textFill>
                  <w14:solidFill>
                    <w14:schemeClr w14:val="tx1"/>
                  </w14:solidFill>
                </w14:textFill>
              </w:rPr>
              <w:t>储运</w:t>
            </w:r>
          </w:p>
        </w:tc>
        <w:tc>
          <w:tcPr>
            <w:tcW w:w="8973" w:type="dxa"/>
            <w:gridSpan w:val="4"/>
            <w:vAlign w:val="center"/>
          </w:tcPr>
          <w:p w14:paraId="3604D2C6">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储存于阴凉、通风的库房。远离火种、热源。应与氧化剂、碱类等分开存放，切忌混储。配备相应品种和数量的消防器材。储区应备有合适的材料收容泄漏物。</w:t>
            </w:r>
          </w:p>
          <w:p w14:paraId="23A0C2E2">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运输注意事项：</w:t>
            </w:r>
            <w:r>
              <w:rPr>
                <w:rFonts w:hint="eastAsia" w:ascii="宋体" w:hAnsi="宋体" w:eastAsia="宋体" w:cs="宋体"/>
                <w:color w:val="000000" w:themeColor="text1"/>
                <w:sz w:val="21"/>
                <w:szCs w:val="21"/>
                <w14:textFill>
                  <w14:solidFill>
                    <w14:schemeClr w14:val="tx1"/>
                  </w14:solidFill>
                </w14:textFill>
              </w:rPr>
              <w:t>起运时包装要完整，装载应稳妥。运输过程中要确保容器不泄漏、不倒塌、不坠落、不损坏。严禁与氧化剂、碱类、食用化学品等混装混运。运输途中应防曝晒、雨淋，防高温。车辆运输完毕应进行彻底清扫。</w:t>
            </w:r>
          </w:p>
        </w:tc>
      </w:tr>
    </w:tbl>
    <w:p w14:paraId="220ACD77">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b/>
          <w:color w:val="000000" w:themeColor="text1"/>
          <w14:textFill>
            <w14:solidFill>
              <w14:schemeClr w14:val="tx1"/>
            </w14:solidFill>
          </w14:textFill>
        </w:rPr>
      </w:pPr>
      <w:bookmarkStart w:id="370" w:name="_Toc3830"/>
      <w:bookmarkStart w:id="371" w:name="_Toc28571"/>
      <w:r>
        <w:rPr>
          <w:rFonts w:hint="default" w:ascii="Times New Roman" w:hAnsi="Times New Roman" w:cs="Times New Roman"/>
          <w:color w:val="000000" w:themeColor="text1"/>
          <w:lang w:val="en-US" w:eastAsia="zh-CN"/>
          <w14:textFill>
            <w14:solidFill>
              <w14:schemeClr w14:val="tx1"/>
            </w14:solidFill>
          </w14:textFill>
        </w:rPr>
        <w:t>3.4.</w:t>
      </w:r>
      <w:r>
        <w:rPr>
          <w:rFonts w:hint="eastAsia" w:ascii="Times New Roman" w:hAnsi="Times New Roman" w:cs="Times New Roman"/>
          <w:color w:val="000000" w:themeColor="text1"/>
          <w:lang w:val="en-US" w:eastAsia="zh-CN"/>
          <w14:textFill>
            <w14:solidFill>
              <w14:schemeClr w14:val="tx1"/>
            </w14:solidFill>
          </w14:textFill>
        </w:rPr>
        <w:t xml:space="preserve">4 </w:t>
      </w:r>
      <w:r>
        <w:rPr>
          <w:rFonts w:hint="default" w:ascii="Times New Roman" w:hAnsi="Times New Roman" w:cs="Times New Roman"/>
          <w:color w:val="000000" w:themeColor="text1"/>
          <w:lang w:val="en-US" w:eastAsia="zh-CN"/>
          <w14:textFill>
            <w14:solidFill>
              <w14:schemeClr w14:val="tx1"/>
            </w14:solidFill>
          </w14:textFill>
        </w:rPr>
        <w:t>物质危险特性汇总表</w:t>
      </w:r>
      <w:bookmarkEnd w:id="370"/>
      <w:bookmarkEnd w:id="371"/>
    </w:p>
    <w:p w14:paraId="75B6294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表3-</w:t>
      </w:r>
      <w:r>
        <w:rPr>
          <w:rFonts w:hint="eastAsia" w:ascii="Times New Roman" w:cs="Times New Roman"/>
          <w:b/>
          <w:color w:val="000000" w:themeColor="text1"/>
          <w:lang w:val="en-US" w:eastAsia="zh-CN"/>
          <w14:textFill>
            <w14:solidFill>
              <w14:schemeClr w14:val="tx1"/>
            </w14:solidFill>
          </w14:textFill>
        </w:rPr>
        <w:t>8</w:t>
      </w:r>
      <w:r>
        <w:rPr>
          <w:rFonts w:hint="default" w:ascii="Times New Roman" w:hAnsi="Times New Roman" w:cs="Times New Roman"/>
          <w:b/>
          <w:color w:val="000000" w:themeColor="text1"/>
          <w14:textFill>
            <w14:solidFill>
              <w14:schemeClr w14:val="tx1"/>
            </w14:solidFill>
          </w14:textFill>
        </w:rPr>
        <w:t>物质危险特性汇总表</w:t>
      </w:r>
    </w:p>
    <w:tbl>
      <w:tblPr>
        <w:tblStyle w:val="51"/>
        <w:tblW w:w="9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224"/>
        <w:gridCol w:w="1658"/>
        <w:gridCol w:w="6132"/>
      </w:tblGrid>
      <w:tr w14:paraId="2B448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81" w:type="dxa"/>
            <w:noWrap/>
            <w:vAlign w:val="center"/>
          </w:tcPr>
          <w:p w14:paraId="79AC1AB4">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序号</w:t>
            </w:r>
          </w:p>
        </w:tc>
        <w:tc>
          <w:tcPr>
            <w:tcW w:w="1224" w:type="dxa"/>
            <w:noWrap/>
            <w:vAlign w:val="center"/>
          </w:tcPr>
          <w:p w14:paraId="6B3B952E">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危险、有害</w:t>
            </w:r>
          </w:p>
          <w:p w14:paraId="188D292B">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物质名称</w:t>
            </w:r>
          </w:p>
        </w:tc>
        <w:tc>
          <w:tcPr>
            <w:tcW w:w="1658" w:type="dxa"/>
            <w:noWrap/>
            <w:vAlign w:val="center"/>
          </w:tcPr>
          <w:p w14:paraId="7926E74F">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主要存在场所</w:t>
            </w:r>
          </w:p>
        </w:tc>
        <w:tc>
          <w:tcPr>
            <w:tcW w:w="6132" w:type="dxa"/>
            <w:noWrap/>
            <w:vAlign w:val="center"/>
          </w:tcPr>
          <w:p w14:paraId="5D7EB363">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主要危险特性</w:t>
            </w:r>
          </w:p>
        </w:tc>
      </w:tr>
      <w:tr w14:paraId="788A1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681" w:type="dxa"/>
            <w:noWrap/>
            <w:vAlign w:val="center"/>
          </w:tcPr>
          <w:p w14:paraId="0C172665">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224" w:type="dxa"/>
            <w:noWrap/>
            <w:vAlign w:val="center"/>
          </w:tcPr>
          <w:p w14:paraId="6322C1F4">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柴油</w:t>
            </w:r>
          </w:p>
        </w:tc>
        <w:tc>
          <w:tcPr>
            <w:tcW w:w="1658" w:type="dxa"/>
            <w:noWrap/>
            <w:vAlign w:val="center"/>
          </w:tcPr>
          <w:p w14:paraId="44B3A3D5">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生产区机械设备及储存场所</w:t>
            </w:r>
          </w:p>
        </w:tc>
        <w:tc>
          <w:tcPr>
            <w:tcW w:w="6132" w:type="dxa"/>
            <w:noWrap/>
            <w:vAlign w:val="center"/>
          </w:tcPr>
          <w:p w14:paraId="13A94502">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遇明火、高热或与氧化剂接触有可能引起燃烧爆炸的危险。若遇高热，容器内压增大，有开裂和爆炸的危险。</w:t>
            </w:r>
          </w:p>
        </w:tc>
      </w:tr>
      <w:tr w14:paraId="722EF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681" w:type="dxa"/>
            <w:noWrap/>
            <w:vAlign w:val="center"/>
          </w:tcPr>
          <w:p w14:paraId="1E24EF8E">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224" w:type="dxa"/>
            <w:noWrap/>
            <w:vAlign w:val="center"/>
          </w:tcPr>
          <w:p w14:paraId="1B3BFDA4">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乙炔</w:t>
            </w:r>
          </w:p>
        </w:tc>
        <w:tc>
          <w:tcPr>
            <w:tcW w:w="1658" w:type="dxa"/>
            <w:noWrap/>
            <w:vAlign w:val="center"/>
          </w:tcPr>
          <w:p w14:paraId="05E0B8E4">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检维修过程使用区域及储存场所</w:t>
            </w:r>
          </w:p>
        </w:tc>
        <w:tc>
          <w:tcPr>
            <w:tcW w:w="6132" w:type="dxa"/>
            <w:noWrap/>
            <w:vAlign w:val="center"/>
          </w:tcPr>
          <w:p w14:paraId="356976D6">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极易燃烧爆炸。与空气混合能形成爆炸性混合物，遇明火、高热能引起燃烧爆炸。与氧化剂接触会猛烈反应。与氟、氯等接触会发生剧烈的化学反应。能与铜、银、汞等的化合物生成爆炸性物质。</w:t>
            </w:r>
          </w:p>
        </w:tc>
      </w:tr>
      <w:tr w14:paraId="1B1AD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jc w:val="center"/>
        </w:trPr>
        <w:tc>
          <w:tcPr>
            <w:tcW w:w="681" w:type="dxa"/>
            <w:noWrap/>
            <w:vAlign w:val="center"/>
          </w:tcPr>
          <w:p w14:paraId="3D275BD7">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224" w:type="dxa"/>
            <w:noWrap/>
            <w:vAlign w:val="center"/>
          </w:tcPr>
          <w:p w14:paraId="26F71F6D">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氧气（工业气瓶）</w:t>
            </w:r>
          </w:p>
        </w:tc>
        <w:tc>
          <w:tcPr>
            <w:tcW w:w="1658" w:type="dxa"/>
            <w:noWrap/>
            <w:vAlign w:val="center"/>
          </w:tcPr>
          <w:p w14:paraId="79F39F88">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检维修过程使用区域及储存场所</w:t>
            </w:r>
          </w:p>
        </w:tc>
        <w:tc>
          <w:tcPr>
            <w:tcW w:w="6132" w:type="dxa"/>
            <w:noWrap/>
            <w:vAlign w:val="center"/>
          </w:tcPr>
          <w:p w14:paraId="614A8215">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是易燃物、可燃物燃烧爆炸的基本元素之一，与易燃物（如氢、乙炔等）形成有爆炸性的混合物；化学性质活泼，能与多种元素化合发出光和热，也即燃烧。当氧与油脂接触则发生反应热，此热蓄积到一定程度时就会自然；当空气中氧的浓度增加时，火焰的温度和火焰长度增加，可燃物的着火温度下降。</w:t>
            </w:r>
          </w:p>
        </w:tc>
      </w:tr>
      <w:tr w14:paraId="37105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681" w:type="dxa"/>
            <w:noWrap/>
            <w:vAlign w:val="center"/>
          </w:tcPr>
          <w:p w14:paraId="31FC554B">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w:t>
            </w:r>
          </w:p>
        </w:tc>
        <w:tc>
          <w:tcPr>
            <w:tcW w:w="1224" w:type="dxa"/>
            <w:noWrap/>
            <w:vAlign w:val="center"/>
          </w:tcPr>
          <w:p w14:paraId="4AC04348">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氢氧化钠</w:t>
            </w:r>
          </w:p>
        </w:tc>
        <w:tc>
          <w:tcPr>
            <w:tcW w:w="1658" w:type="dxa"/>
            <w:noWrap/>
            <w:vAlign w:val="center"/>
          </w:tcPr>
          <w:p w14:paraId="37492D51">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脱硫塔加氢氧化钠吸收烟气。</w:t>
            </w:r>
          </w:p>
        </w:tc>
        <w:tc>
          <w:tcPr>
            <w:tcW w:w="6132" w:type="dxa"/>
            <w:noWrap/>
            <w:vAlign w:val="center"/>
          </w:tcPr>
          <w:p w14:paraId="19C2C73F">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有强烈刺激和腐蚀性。粉尘刺激眼和呼吸道,腐蚀鼻中隔；皮肤和眼直接接触可引起灼伤；误服可造成消化道灼伤，黏膜糜烂、出血和休克。</w:t>
            </w:r>
          </w:p>
        </w:tc>
      </w:tr>
      <w:tr w14:paraId="4A438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681" w:type="dxa"/>
            <w:noWrap/>
            <w:vAlign w:val="center"/>
          </w:tcPr>
          <w:p w14:paraId="60280906">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p>
        </w:tc>
        <w:tc>
          <w:tcPr>
            <w:tcW w:w="1224" w:type="dxa"/>
            <w:shd w:val="clear" w:color="auto" w:fill="auto"/>
            <w:noWrap/>
            <w:vAlign w:val="center"/>
          </w:tcPr>
          <w:p w14:paraId="7AE13E05">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石灰</w:t>
            </w:r>
          </w:p>
        </w:tc>
        <w:tc>
          <w:tcPr>
            <w:tcW w:w="1658" w:type="dxa"/>
            <w:shd w:val="clear" w:color="auto" w:fill="auto"/>
            <w:noWrap/>
            <w:vAlign w:val="center"/>
          </w:tcPr>
          <w:p w14:paraId="3FDAC209">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储存区域及脱硫系统</w:t>
            </w:r>
          </w:p>
        </w:tc>
        <w:tc>
          <w:tcPr>
            <w:tcW w:w="6132" w:type="dxa"/>
            <w:shd w:val="clear" w:color="auto" w:fill="auto"/>
            <w:noWrap/>
            <w:vAlign w:val="center"/>
          </w:tcPr>
          <w:p w14:paraId="1BE71A5B">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石灰属强碱，有刺激和腐蚀作用。对呼吸道有强烈刺激性，吸入本品粉尘可致化学性肺炎。对眼和皮肤有强烈刺激性，可致灼伤。口服刺激和灼伤消化道。长期接触本品可致手掌皮肤角化.鞭裂、指甲变形。</w:t>
            </w:r>
          </w:p>
        </w:tc>
      </w:tr>
      <w:tr w14:paraId="41C46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681" w:type="dxa"/>
            <w:noWrap/>
            <w:vAlign w:val="center"/>
          </w:tcPr>
          <w:p w14:paraId="696F8873">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p>
        </w:tc>
        <w:tc>
          <w:tcPr>
            <w:tcW w:w="1224" w:type="dxa"/>
            <w:noWrap/>
            <w:vAlign w:val="center"/>
          </w:tcPr>
          <w:p w14:paraId="4858969A">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二氧化硫</w:t>
            </w:r>
          </w:p>
        </w:tc>
        <w:tc>
          <w:tcPr>
            <w:tcW w:w="1658" w:type="dxa"/>
            <w:shd w:val="clear" w:color="auto" w:fill="auto"/>
            <w:noWrap/>
            <w:vAlign w:val="center"/>
          </w:tcPr>
          <w:p w14:paraId="38CBBDE5">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隧道窑、烟气管道内烟气</w:t>
            </w:r>
          </w:p>
        </w:tc>
        <w:tc>
          <w:tcPr>
            <w:tcW w:w="6132" w:type="dxa"/>
            <w:shd w:val="clear" w:color="auto" w:fill="auto"/>
            <w:noWrap/>
            <w:vAlign w:val="center"/>
          </w:tcPr>
          <w:p w14:paraId="5EBE3E40">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健康危害：易被湿润的粘膜表面吸收生成亚硫酸、硫酸。对眼及呼吸道粘膜有强烈的刺激作用。大量吸入可引起肺水肿、喉水肿、声带痉挛而致室息。急性中毒：轻度中毒时，发生流泪、畏光、咳嗽，咽、喉灼痛等;严重中毒可在数小时内发生肺水肿;极高浓度吸入可引起反射性声门痉挛而致室息。皮肤或眼接触发生炎症或灼伤。 慢性影响：长期低浓度接触，可有头痛、头昏、乏力等全身症状以及慢性鼻炎、咽喉炎、支气管炎、嗅觉及味觉减退等。少数工人有牙齿酸蚀症。</w:t>
            </w:r>
          </w:p>
          <w:p w14:paraId="5977E5E6">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2.危险特性：不然。若遇高温，容器内压增大，有开裂和爆炸的危险。</w:t>
            </w:r>
          </w:p>
        </w:tc>
      </w:tr>
      <w:tr w14:paraId="79819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681" w:type="dxa"/>
            <w:noWrap/>
            <w:vAlign w:val="center"/>
          </w:tcPr>
          <w:p w14:paraId="4EF29478">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p>
        </w:tc>
        <w:tc>
          <w:tcPr>
            <w:tcW w:w="1224" w:type="dxa"/>
            <w:noWrap/>
            <w:vAlign w:val="center"/>
          </w:tcPr>
          <w:p w14:paraId="3002C297">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一氧化碳</w:t>
            </w:r>
          </w:p>
        </w:tc>
        <w:tc>
          <w:tcPr>
            <w:tcW w:w="1658" w:type="dxa"/>
            <w:shd w:val="clear" w:color="auto" w:fill="auto"/>
            <w:noWrap/>
            <w:vAlign w:val="center"/>
          </w:tcPr>
          <w:p w14:paraId="75906AC3">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隧道窑、烟气管道内烟气</w:t>
            </w:r>
          </w:p>
        </w:tc>
        <w:tc>
          <w:tcPr>
            <w:tcW w:w="6132" w:type="dxa"/>
            <w:shd w:val="clear" w:color="auto" w:fill="auto"/>
            <w:noWrap/>
            <w:vAlign w:val="center"/>
          </w:tcPr>
          <w:p w14:paraId="7B9FCEA3">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健康危害（急性和慢性）</w:t>
            </w:r>
          </w:p>
          <w:p w14:paraId="5A7A9321">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一氧化碳在血中与血红蛋白结合而造成组织缺氧。</w:t>
            </w:r>
          </w:p>
          <w:p w14:paraId="4DCA3147">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急性中毒：轻度中毒者出现头痛、头晕、耳鸣、心悸、恶心、呕吐、无力，血液碳氧血红蛋白浓度可高于10％，中度中毒者除上述症状外，还有皮肤粘膜呈樱红色、脉快、烦躁、步态不稳、浅至中度昏迷，血液碳氧血红蛋白浓度可高于30％；重度患者深度昏迷、瞳孔缩小、肌张力增强、频繁抽搐、大小便失禁、休克、肺水肿、严重心肌损害等，血液碳氧血红蛋白可高于50％部分患者昏迷苏醒后，约经2～60天的症状缓解期后，又可能出现迟发性脑病，以意识精神障碍、锥体系或锥体外系损害为主。</w:t>
            </w:r>
          </w:p>
          <w:p w14:paraId="7F616B06">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慢性影响：能否造成慢性中毒及对心血管影响无定论。</w:t>
            </w:r>
          </w:p>
        </w:tc>
      </w:tr>
      <w:tr w14:paraId="1A25E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681" w:type="dxa"/>
            <w:noWrap/>
            <w:vAlign w:val="center"/>
          </w:tcPr>
          <w:p w14:paraId="4925CA86">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bookmarkStart w:id="372" w:name="_Toc26230"/>
            <w:bookmarkStart w:id="373" w:name="_Toc22390"/>
            <w:bookmarkStart w:id="374" w:name="_Toc12119"/>
            <w:bookmarkStart w:id="375" w:name="_Toc24809"/>
          </w:p>
        </w:tc>
        <w:tc>
          <w:tcPr>
            <w:tcW w:w="1224" w:type="dxa"/>
            <w:noWrap/>
            <w:vAlign w:val="center"/>
          </w:tcPr>
          <w:p w14:paraId="3AAAB213">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658" w:type="dxa"/>
            <w:shd w:val="clear" w:color="auto" w:fill="auto"/>
            <w:noWrap/>
            <w:vAlign w:val="center"/>
          </w:tcPr>
          <w:p w14:paraId="31FF8651">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6132" w:type="dxa"/>
            <w:shd w:val="clear" w:color="auto" w:fill="auto"/>
            <w:noWrap/>
            <w:vAlign w:val="center"/>
          </w:tcPr>
          <w:p w14:paraId="7BFC7A7D">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7A011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681" w:type="dxa"/>
            <w:noWrap/>
            <w:vAlign w:val="center"/>
          </w:tcPr>
          <w:p w14:paraId="41CBCC61">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1224" w:type="dxa"/>
            <w:noWrap/>
            <w:vAlign w:val="center"/>
          </w:tcPr>
          <w:p w14:paraId="054625C8">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658" w:type="dxa"/>
            <w:shd w:val="clear" w:color="auto" w:fill="auto"/>
            <w:noWrap/>
            <w:vAlign w:val="center"/>
          </w:tcPr>
          <w:p w14:paraId="127576DE">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6132" w:type="dxa"/>
            <w:shd w:val="clear" w:color="auto" w:fill="auto"/>
            <w:noWrap/>
            <w:vAlign w:val="center"/>
          </w:tcPr>
          <w:p w14:paraId="3C300145">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bl>
    <w:p w14:paraId="1ECF9C77">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r>
        <w:rPr>
          <w:rFonts w:hint="default" w:ascii="Times New Roman" w:hAnsi="Times New Roman" w:eastAsia="楷体" w:cs="Times New Roman"/>
          <w:color w:val="000000" w:themeColor="text1"/>
          <w14:textFill>
            <w14:solidFill>
              <w14:schemeClr w14:val="tx1"/>
            </w14:solidFill>
          </w14:textFill>
        </w:rPr>
        <w:t>3.5主要危险、有害因素辨识与分析</w:t>
      </w:r>
      <w:bookmarkEnd w:id="372"/>
      <w:bookmarkEnd w:id="373"/>
      <w:bookmarkEnd w:id="374"/>
      <w:bookmarkEnd w:id="375"/>
    </w:p>
    <w:p w14:paraId="1DB23336">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376" w:name="_Toc61474415"/>
      <w:bookmarkStart w:id="377" w:name="_Toc25805"/>
      <w:bookmarkStart w:id="378" w:name="_Toc11229"/>
      <w:bookmarkStart w:id="379" w:name="_Toc28400"/>
      <w:bookmarkStart w:id="380" w:name="_Toc30001393"/>
      <w:bookmarkStart w:id="381" w:name="_Toc21492"/>
      <w:bookmarkStart w:id="382" w:name="_Toc2928"/>
      <w:r>
        <w:rPr>
          <w:rFonts w:hint="default" w:ascii="Times New Roman" w:hAnsi="Times New Roman" w:cs="Times New Roman"/>
          <w:color w:val="000000" w:themeColor="text1"/>
          <w:lang w:val="en-US" w:eastAsia="zh-CN"/>
          <w14:textFill>
            <w14:solidFill>
              <w14:schemeClr w14:val="tx1"/>
            </w14:solidFill>
          </w14:textFill>
        </w:rPr>
        <w:t>3.5.1厂址危险性分析</w:t>
      </w:r>
      <w:bookmarkEnd w:id="376"/>
      <w:bookmarkEnd w:id="377"/>
      <w:bookmarkEnd w:id="378"/>
      <w:bookmarkEnd w:id="379"/>
      <w:bookmarkEnd w:id="380"/>
      <w:bookmarkEnd w:id="381"/>
      <w:bookmarkEnd w:id="382"/>
    </w:p>
    <w:p w14:paraId="58635803">
      <w:pPr>
        <w:adjustRightInd w:val="0"/>
        <w:snapToGrid w:val="0"/>
        <w:spacing w:line="500" w:lineRule="exact"/>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该项目厂址方面的因素主要有项目所在地自然条件以及周边环境对项目的影响。</w:t>
      </w:r>
    </w:p>
    <w:p w14:paraId="76344A2C">
      <w:pPr>
        <w:numPr>
          <w:ilvl w:val="0"/>
          <w:numId w:val="10"/>
        </w:numPr>
        <w:tabs>
          <w:tab w:val="left" w:pos="0"/>
          <w:tab w:val="left" w:pos="840"/>
          <w:tab w:val="left" w:pos="993"/>
        </w:tabs>
        <w:adjustRightInd w:val="0"/>
        <w:snapToGrid w:val="0"/>
        <w:spacing w:line="500" w:lineRule="exact"/>
        <w:ind w:left="0"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气象</w:t>
      </w:r>
    </w:p>
    <w:p w14:paraId="4F0E6714">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1）大风：厂区所在位置场地开阔，</w:t>
      </w:r>
      <w:r>
        <w:rPr>
          <w:color w:val="000000" w:themeColor="text1"/>
          <w:sz w:val="28"/>
          <w:szCs w:val="28"/>
          <w14:textFill>
            <w14:solidFill>
              <w14:schemeClr w14:val="tx1"/>
            </w14:solidFill>
          </w14:textFill>
        </w:rPr>
        <w:t>春季风大</w:t>
      </w:r>
      <w:r>
        <w:rPr>
          <w:color w:val="000000" w:themeColor="text1"/>
          <w:sz w:val="28"/>
          <w14:textFill>
            <w14:solidFill>
              <w14:schemeClr w14:val="tx1"/>
            </w14:solidFill>
          </w14:textFill>
        </w:rPr>
        <w:t>。大风可能导致厂区内建构筑物坍塌；造成高处未佩戴安全防护用品的人员发生高处坠落事故；或导致高处堆放的零散物件坠落，对地面的人员造成物体打击伤害；还可能导致扬尘，造成视线不清，从而引发机械伤害、车辆伤害等事故的发生。</w:t>
      </w:r>
    </w:p>
    <w:p w14:paraId="76955616">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2）高温：高温天气对人体健康的主要影响是产生中暑以及诱</w:t>
      </w:r>
      <w:r>
        <w:rPr>
          <w:rFonts w:hint="eastAsia"/>
          <w:color w:val="000000" w:themeColor="text1"/>
          <w:sz w:val="28"/>
          <w14:textFill>
            <w14:solidFill>
              <w14:schemeClr w14:val="tx1"/>
            </w14:solidFill>
          </w14:textFill>
        </w:rPr>
        <w:t>心脑血管</w:t>
      </w:r>
      <w:r>
        <w:rPr>
          <w:color w:val="000000" w:themeColor="text1"/>
          <w:sz w:val="28"/>
          <w14:textFill>
            <w14:solidFill>
              <w14:schemeClr w14:val="tx1"/>
            </w14:solidFill>
          </w14:textFill>
        </w:rPr>
        <w:t>管疾病导致死亡。该项目在运行过程中，</w:t>
      </w:r>
      <w:r>
        <w:rPr>
          <w:color w:val="000000" w:themeColor="text1"/>
          <w:sz w:val="28"/>
          <w:szCs w:val="28"/>
          <w14:textFill>
            <w14:solidFill>
              <w14:schemeClr w14:val="tx1"/>
            </w14:solidFill>
          </w14:textFill>
        </w:rPr>
        <w:t>极端最高气温</w:t>
      </w:r>
      <w:r>
        <w:rPr>
          <w:rFonts w:hint="eastAsia"/>
          <w:color w:val="000000" w:themeColor="text1"/>
          <w:sz w:val="28"/>
          <w:szCs w:val="28"/>
          <w:lang w:val="en-US" w:eastAsia="zh-CN"/>
          <w14:textFill>
            <w14:solidFill>
              <w14:schemeClr w14:val="tx1"/>
            </w14:solidFill>
          </w14:textFill>
        </w:rPr>
        <w:t>34</w:t>
      </w: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w:t>
      </w:r>
      <w:r>
        <w:rPr>
          <w:color w:val="000000" w:themeColor="text1"/>
          <w:sz w:val="28"/>
          <w14:textFill>
            <w14:solidFill>
              <w14:schemeClr w14:val="tx1"/>
            </w14:solidFill>
          </w14:textFill>
        </w:rPr>
        <w:t>在夏季高温天气下，可能造成作业人员发生中暑的危险。</w:t>
      </w:r>
    </w:p>
    <w:p w14:paraId="5A147271">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3）暴雨：暴雨是主要气象灾害之一。长时间的暴雨容易产生积水或径流淹没低洼地段，造成洪涝灾害。厂区设备可能受潮、房顶漏雨，地面积水导致电气设备、线路、开关装置短路，发生漏电伤人事故。</w:t>
      </w:r>
    </w:p>
    <w:p w14:paraId="5D773AFB">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4）雷击：雷电事故有可能对建筑物和电气设备造成破坏。</w:t>
      </w:r>
    </w:p>
    <w:p w14:paraId="421E9888">
      <w:pPr>
        <w:numPr>
          <w:ilvl w:val="0"/>
          <w:numId w:val="10"/>
        </w:numPr>
        <w:tabs>
          <w:tab w:val="left" w:pos="0"/>
          <w:tab w:val="left" w:pos="840"/>
          <w:tab w:val="left" w:pos="993"/>
        </w:tabs>
        <w:adjustRightInd w:val="0"/>
        <w:snapToGrid w:val="0"/>
        <w:spacing w:line="500" w:lineRule="exact"/>
        <w:ind w:left="0"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地质条件方面危险、有害因素分析</w:t>
      </w:r>
    </w:p>
    <w:p w14:paraId="2ACE8215">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（1）地质</w:t>
      </w:r>
    </w:p>
    <w:p w14:paraId="4F612FF4">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地质灾害主要由地形地貌、地层岩性，地质构造、地下水、地震、暴雨等因素等引发。如</w:t>
      </w:r>
      <w:r>
        <w:rPr>
          <w:rFonts w:hint="eastAsia"/>
          <w:color w:val="000000" w:themeColor="text1"/>
          <w:sz w:val="28"/>
          <w14:textFill>
            <w14:solidFill>
              <w14:schemeClr w14:val="tx1"/>
            </w14:solidFill>
          </w14:textFill>
        </w:rPr>
        <w:t>生产过程中</w:t>
      </w:r>
      <w:r>
        <w:rPr>
          <w:color w:val="000000" w:themeColor="text1"/>
          <w:sz w:val="28"/>
          <w14:textFill>
            <w14:solidFill>
              <w14:schemeClr w14:val="tx1"/>
            </w14:solidFill>
          </w14:textFill>
        </w:rPr>
        <w:t>施工不当，也可破坏斜坡平衡，引发滑坡、崩塌等地质灾害。可能会因为地质不良或未根据地质情况采取相应的措施，造成建构筑物坍塌、地基塌陷、基础不均匀沉降等危险，基础不均匀下沉会导致设备损坏、管线破裂，发生坍塌、触电等事故。</w:t>
      </w:r>
    </w:p>
    <w:p w14:paraId="5E7972B0">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（2）水文地质方面</w:t>
      </w:r>
    </w:p>
    <w:p w14:paraId="7431BBFA">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1）地下水位：地下水位的变化，对工程建筑的危害影响较大，如地下水位上升，可引起浅基础地基承载力的降低，在有地震砂土液化的地区会引起液化的加剧，岩土体产生变形、滑移、崩塌失稳等不良的地质作用，继而可导致建构筑物下沉、位移、倾斜甚至坍塌；</w:t>
      </w:r>
    </w:p>
    <w:p w14:paraId="33055132">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2）地下水侵蚀：地下水侵蚀性的影响主要体现在水对混凝土、可溶性石材、管道以及金属材料的侵蚀和危害。突出表现在地下水的侵蚀性和地下水中的化学性质的积极作用，在工程上带来较大的危害，侵蚀性在或快或慢的进行，可改变各种建筑材料的使用预期，造成建构筑物使用寿命的降低；</w:t>
      </w:r>
    </w:p>
    <w:p w14:paraId="6E08A9E0">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3）过度开采地下水：若厂区或周边企业违规自设水井开采地下水，地下水的过度开采经常造成地面沉陷，塌陷的地面给工程造成极大的危害，可致使场地地质状况下降，导致建构筑物下沉、倾斜甚至坍塌，给人员带来安全隐患。</w:t>
      </w:r>
    </w:p>
    <w:p w14:paraId="5D69F7DA">
      <w:pPr>
        <w:tabs>
          <w:tab w:val="left" w:pos="0"/>
          <w:tab w:val="left" w:pos="840"/>
          <w:tab w:val="left" w:pos="993"/>
        </w:tabs>
        <w:adjustRightInd w:val="0"/>
        <w:snapToGrid w:val="0"/>
        <w:spacing w:line="500" w:lineRule="exact"/>
        <w:ind w:left="560"/>
        <w:rPr>
          <w:color w:val="000000" w:themeColor="text1"/>
          <w:sz w:val="28"/>
          <w14:textFill>
            <w14:solidFill>
              <w14:schemeClr w14:val="tx1"/>
            </w14:solidFill>
          </w14:textFill>
        </w:rPr>
      </w:pPr>
      <w:r>
        <w:rPr>
          <w:color w:val="000000" w:themeColor="text1"/>
          <w:sz w:val="28"/>
          <w14:textFill>
            <w14:solidFill>
              <w14:schemeClr w14:val="tx1"/>
            </w14:solidFill>
          </w14:textFill>
        </w:rPr>
        <w:t>（3）地震</w:t>
      </w:r>
    </w:p>
    <w:p w14:paraId="45563B3D">
      <w:pPr>
        <w:tabs>
          <w:tab w:val="left" w:pos="0"/>
          <w:tab w:val="left" w:pos="840"/>
          <w:tab w:val="left" w:pos="993"/>
        </w:tabs>
        <w:adjustRightInd w:val="0"/>
        <w:snapToGrid w:val="0"/>
        <w:spacing w:line="500" w:lineRule="exact"/>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如各建构筑物抗震设防等级不满足要求，地震可破坏建筑物基础，造成建筑物坍塌，造成人员、财产重大损失。</w:t>
      </w:r>
    </w:p>
    <w:p w14:paraId="182B7339">
      <w:pPr>
        <w:numPr>
          <w:ilvl w:val="0"/>
          <w:numId w:val="10"/>
        </w:numPr>
        <w:tabs>
          <w:tab w:val="left" w:pos="0"/>
          <w:tab w:val="left" w:pos="840"/>
          <w:tab w:val="left" w:pos="993"/>
        </w:tabs>
        <w:adjustRightInd w:val="0"/>
        <w:snapToGrid w:val="0"/>
        <w:spacing w:line="500" w:lineRule="exact"/>
        <w:ind w:left="0"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周边环境因素对企业的影响分析</w:t>
      </w:r>
    </w:p>
    <w:p w14:paraId="55EFFFF0">
      <w:pPr>
        <w:adjustRightInd w:val="0"/>
        <w:snapToGrid w:val="0"/>
        <w:spacing w:line="500" w:lineRule="exact"/>
        <w:ind w:firstLine="592" w:firstLineChars="200"/>
        <w:contextualSpacing/>
        <w:rPr>
          <w:color w:val="000000" w:themeColor="text1"/>
          <w:spacing w:val="8"/>
          <w:sz w:val="28"/>
          <w:szCs w:val="28"/>
          <w14:textFill>
            <w14:solidFill>
              <w14:schemeClr w14:val="tx1"/>
            </w14:solidFill>
          </w14:textFill>
        </w:rPr>
      </w:pPr>
      <w:r>
        <w:rPr>
          <w:color w:val="000000" w:themeColor="text1"/>
          <w:spacing w:val="8"/>
          <w:sz w:val="28"/>
          <w:szCs w:val="28"/>
          <w14:textFill>
            <w14:solidFill>
              <w14:schemeClr w14:val="tx1"/>
            </w14:solidFill>
          </w14:textFill>
        </w:rPr>
        <w:t>（</w:t>
      </w:r>
      <w:r>
        <w:rPr>
          <w:rFonts w:hint="eastAsia"/>
          <w:color w:val="000000" w:themeColor="text1"/>
          <w:spacing w:val="8"/>
          <w:sz w:val="28"/>
          <w:szCs w:val="28"/>
          <w14:textFill>
            <w14:solidFill>
              <w14:schemeClr w14:val="tx1"/>
            </w14:solidFill>
          </w14:textFill>
        </w:rPr>
        <w:t>1</w:t>
      </w:r>
      <w:r>
        <w:rPr>
          <w:color w:val="000000" w:themeColor="text1"/>
          <w:spacing w:val="8"/>
          <w:sz w:val="28"/>
          <w:szCs w:val="28"/>
          <w14:textFill>
            <w14:solidFill>
              <w14:schemeClr w14:val="tx1"/>
            </w14:solidFill>
          </w14:textFill>
        </w:rPr>
        <w:t>）厂外企业发生不可控的安全生产事故，容易影响到本公司厂房和设备设施的安全，引发建（构）筑物坍塌、火灾等事故。事故会造成人员损伤和财产损失，终止生产运行。</w:t>
      </w:r>
    </w:p>
    <w:p w14:paraId="733A76CC">
      <w:pPr>
        <w:adjustRightInd w:val="0"/>
        <w:snapToGrid w:val="0"/>
        <w:spacing w:line="500" w:lineRule="exact"/>
        <w:ind w:firstLine="592" w:firstLineChars="200"/>
        <w:contextualSpacing/>
        <w:rPr>
          <w:color w:val="000000" w:themeColor="text1"/>
          <w14:textFill>
            <w14:solidFill>
              <w14:schemeClr w14:val="tx1"/>
            </w14:solidFill>
          </w14:textFill>
        </w:rPr>
      </w:pPr>
      <w:r>
        <w:rPr>
          <w:color w:val="000000" w:themeColor="text1"/>
          <w:spacing w:val="8"/>
          <w:sz w:val="28"/>
          <w:szCs w:val="28"/>
          <w14:textFill>
            <w14:solidFill>
              <w14:schemeClr w14:val="tx1"/>
            </w14:solidFill>
          </w14:textFill>
        </w:rPr>
        <w:t>（</w:t>
      </w:r>
      <w:r>
        <w:rPr>
          <w:rFonts w:hint="eastAsia"/>
          <w:color w:val="000000" w:themeColor="text1"/>
          <w:spacing w:val="8"/>
          <w:sz w:val="28"/>
          <w:szCs w:val="28"/>
          <w14:textFill>
            <w14:solidFill>
              <w14:schemeClr w14:val="tx1"/>
            </w14:solidFill>
          </w14:textFill>
        </w:rPr>
        <w:t>2</w:t>
      </w:r>
      <w:r>
        <w:rPr>
          <w:color w:val="000000" w:themeColor="text1"/>
          <w:spacing w:val="8"/>
          <w:sz w:val="28"/>
          <w:szCs w:val="28"/>
          <w14:textFill>
            <w14:solidFill>
              <w14:schemeClr w14:val="tx1"/>
            </w14:solidFill>
          </w14:textFill>
        </w:rPr>
        <w:t>）本公司内部其他相关方事故及本公司周边外单位事故可能影响到本公司内部生产安全，影响范围主要为本公司与周边单位相邻区域。</w:t>
      </w:r>
    </w:p>
    <w:p w14:paraId="24EC5D6F">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383" w:name="_Toc14512"/>
      <w:bookmarkStart w:id="384" w:name="_Toc7008"/>
      <w:bookmarkStart w:id="385" w:name="_Toc1063"/>
      <w:bookmarkStart w:id="386" w:name="_Toc26286"/>
      <w:bookmarkStart w:id="387" w:name="_Toc17415"/>
      <w:bookmarkStart w:id="388" w:name="_Toc61474416"/>
      <w:bookmarkStart w:id="389" w:name="_Toc30001394"/>
      <w:r>
        <w:rPr>
          <w:rFonts w:hint="default" w:ascii="Times New Roman" w:hAnsi="Times New Roman" w:cs="Times New Roman"/>
          <w:color w:val="000000" w:themeColor="text1"/>
          <w:lang w:val="en-US" w:eastAsia="zh-CN"/>
          <w14:textFill>
            <w14:solidFill>
              <w14:schemeClr w14:val="tx1"/>
            </w14:solidFill>
          </w14:textFill>
        </w:rPr>
        <w:t>3.5.2总平面布置危险性分析</w:t>
      </w:r>
      <w:bookmarkEnd w:id="383"/>
      <w:bookmarkEnd w:id="384"/>
      <w:bookmarkEnd w:id="385"/>
      <w:bookmarkEnd w:id="386"/>
      <w:bookmarkEnd w:id="387"/>
      <w:bookmarkEnd w:id="388"/>
      <w:bookmarkEnd w:id="389"/>
    </w:p>
    <w:p w14:paraId="701A57AF">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项目总体布置应全面考虑自然条件、社会环境、安全卫生设施、交通道路、建筑物间的防火间距、枢纽规划和环境绿化等对劳动安全和工业卫生都有直接影响的因素，应统一规划，合理安排。</w:t>
      </w:r>
    </w:p>
    <w:p w14:paraId="5A16126C">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总平面布置可能对项目造成危害的主要是防火间距、风向、道路、采光、通风、布置等方面。总平面布置不合理可能会导致火灾、物体打击、机械伤害、车辆伤害、触电、坍塌等危险。引发事故的原因主要有：</w:t>
      </w:r>
    </w:p>
    <w:p w14:paraId="3CFF9548">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1、设备、设施安全通道预留不足，或相关通道阻塞，可导致设备检修、巡检不便，发生机械伤害、灼烫、触电等类型事故。</w:t>
      </w:r>
    </w:p>
    <w:p w14:paraId="3AB164B6">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2、如建（构）筑物之间通道阻塞致使防火间距预留不足，如发生火灾等事故，可能导致事故范围和等级扩大。</w:t>
      </w:r>
    </w:p>
    <w:p w14:paraId="20909247">
      <w:pPr>
        <w:adjustRightInd w:val="0"/>
        <w:snapToGrid w:val="0"/>
        <w:spacing w:line="500" w:lineRule="exact"/>
        <w:ind w:firstLine="560" w:firstLineChars="200"/>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3、设备布置过于拥挤，作业区域空间狭小，未设防护挡板等可导致人员受到机械伤害，物体打击伤害</w:t>
      </w:r>
      <w:r>
        <w:rPr>
          <w:rFonts w:hint="default" w:ascii="Times New Roman" w:hAnsi="Times New Roman" w:cs="Times New Roman"/>
          <w:snapToGrid w:val="0"/>
          <w:color w:val="000000" w:themeColor="text1"/>
          <w:kern w:val="0"/>
          <w:sz w:val="28"/>
          <w:szCs w:val="28"/>
          <w14:textFill>
            <w14:solidFill>
              <w14:schemeClr w14:val="tx1"/>
            </w14:solidFill>
          </w14:textFill>
        </w:rPr>
        <w:t>。</w:t>
      </w:r>
    </w:p>
    <w:p w14:paraId="076D4F73">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4、原料制备堆场出入口存在死角或宽度不足，未设置交通警示标志等，可能引发车辆伤害。</w:t>
      </w:r>
    </w:p>
    <w:p w14:paraId="1B40D260">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5.在竖向布置方面如果破碎站距离料堆场太近，可能因为堆场料坍塌等原因导致破碎设备损坏或掩埋。</w:t>
      </w:r>
    </w:p>
    <w:p w14:paraId="0B15DAA7">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390" w:name="_Toc4447"/>
      <w:bookmarkStart w:id="391" w:name="_Toc30001395"/>
      <w:bookmarkStart w:id="392" w:name="_Toc534898887"/>
      <w:bookmarkStart w:id="393" w:name="_Toc61474417"/>
      <w:bookmarkStart w:id="394" w:name="_Toc30724"/>
      <w:bookmarkStart w:id="395" w:name="_Toc31423"/>
      <w:r>
        <w:rPr>
          <w:rFonts w:hint="default" w:ascii="Times New Roman" w:hAnsi="Times New Roman" w:cs="Times New Roman"/>
          <w:color w:val="000000" w:themeColor="text1"/>
          <w:lang w:val="en-US" w:eastAsia="zh-CN"/>
          <w14:textFill>
            <w14:solidFill>
              <w14:schemeClr w14:val="tx1"/>
            </w14:solidFill>
          </w14:textFill>
        </w:rPr>
        <w:t>3.5.3</w:t>
      </w:r>
      <w:bookmarkEnd w:id="390"/>
      <w:bookmarkEnd w:id="391"/>
      <w:bookmarkEnd w:id="392"/>
      <w:bookmarkEnd w:id="393"/>
      <w:r>
        <w:rPr>
          <w:rFonts w:hint="default" w:ascii="Times New Roman" w:hAnsi="Times New Roman" w:cs="Times New Roman"/>
          <w:color w:val="000000" w:themeColor="text1"/>
          <w:lang w:val="en-US" w:eastAsia="zh-CN"/>
          <w14:textFill>
            <w14:solidFill>
              <w14:schemeClr w14:val="tx1"/>
            </w14:solidFill>
          </w14:textFill>
        </w:rPr>
        <w:t>主要生产工序及设备危险、有害因素分析</w:t>
      </w:r>
      <w:bookmarkEnd w:id="394"/>
      <w:bookmarkEnd w:id="395"/>
    </w:p>
    <w:p w14:paraId="6FE21622">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eastAsia="宋体" w:cs="Times New Roman"/>
          <w:color w:val="000000" w:themeColor="text1"/>
          <w:kern w:val="0"/>
          <w14:textFill>
            <w14:solidFill>
              <w14:schemeClr w14:val="tx1"/>
            </w14:solidFill>
          </w14:textFill>
        </w:rPr>
        <w:t>3.5.3.1原料破碎工段危险、有害因素辨识</w:t>
      </w:r>
    </w:p>
    <w:p w14:paraId="1271F9D7">
      <w:pPr>
        <w:autoSpaceDE w:val="0"/>
        <w:autoSpaceDN w:val="0"/>
        <w:adjustRightInd w:val="0"/>
        <w:snapToGrid w:val="0"/>
        <w:spacing w:line="500" w:lineRule="exact"/>
        <w:ind w:firstLine="560" w:firstLineChars="200"/>
        <w:jc w:val="left"/>
        <w:textAlignment w:val="center"/>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将页岩和煤矸石等经破碎、筛分、粒径符合以后，</w:t>
      </w:r>
      <w:r>
        <w:rPr>
          <w:rFonts w:hint="eastAsia" w:ascii="宋体" w:hAnsi="宋体" w:eastAsia="宋体" w:cs="宋体"/>
          <w:color w:val="000000" w:themeColor="text1"/>
          <w:sz w:val="28"/>
          <w:szCs w:val="28"/>
          <w14:textFill>
            <w14:solidFill>
              <w14:schemeClr w14:val="tx1"/>
            </w14:solidFill>
          </w14:textFill>
        </w:rPr>
        <w:t>由皮带机送入锤式破碎机进行再处理</w:t>
      </w:r>
      <w:r>
        <w:rPr>
          <w:rFonts w:hint="eastAsia" w:ascii="Times New Roman" w:hAnsi="Times New Roman" w:cs="Times New Roman"/>
          <w:color w:val="000000" w:themeColor="text1"/>
          <w:sz w:val="28"/>
          <w:szCs w:val="28"/>
          <w:lang w:eastAsia="zh-CN"/>
          <w14:textFill>
            <w14:solidFill>
              <w14:schemeClr w14:val="tx1"/>
            </w14:solidFill>
          </w14:textFill>
        </w:rPr>
        <w:t>。</w:t>
      </w:r>
    </w:p>
    <w:p w14:paraId="6A055DEA">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在原料破碎工段中主要的危险、危害因素有机械伤害、触电、坍塌、粉尘和噪声职业危害等。</w:t>
      </w:r>
    </w:p>
    <w:p w14:paraId="093B3864">
      <w:pPr>
        <w:autoSpaceDE w:val="0"/>
        <w:autoSpaceDN w:val="0"/>
        <w:adjustRightInd w:val="0"/>
        <w:snapToGrid w:val="0"/>
        <w:spacing w:line="500" w:lineRule="exact"/>
        <w:ind w:firstLine="562" w:firstLineChars="200"/>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1</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机械伤害</w:t>
      </w:r>
    </w:p>
    <w:p w14:paraId="7563770A">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原料破</w:t>
      </w:r>
      <w:r>
        <w:rPr>
          <w:rFonts w:hint="default" w:ascii="Times New Roman" w:hAnsi="Times New Roman" w:eastAsia="宋体" w:cs="Times New Roman"/>
          <w:color w:val="000000" w:themeColor="text1"/>
          <w:sz w:val="28"/>
          <w:szCs w:val="28"/>
          <w:lang w:val="zh-CN"/>
          <w14:textFill>
            <w14:solidFill>
              <w14:schemeClr w14:val="tx1"/>
            </w14:solidFill>
          </w14:textFill>
        </w:rPr>
        <w:t>碎工段用到破碎机、</w:t>
      </w:r>
      <w:r>
        <w:rPr>
          <w:rFonts w:hint="eastAsia" w:ascii="Times New Roman" w:hAnsi="Times New Roman" w:eastAsia="宋体" w:cs="Times New Roman"/>
          <w:color w:val="000000" w:themeColor="text1"/>
          <w:sz w:val="28"/>
          <w:szCs w:val="28"/>
          <w:lang w:val="zh-CN"/>
          <w14:textFill>
            <w14:solidFill>
              <w14:schemeClr w14:val="tx1"/>
            </w14:solidFill>
          </w14:textFill>
        </w:rPr>
        <w:t>板式给料机</w:t>
      </w:r>
      <w:r>
        <w:rPr>
          <w:rFonts w:hint="default" w:ascii="Times New Roman" w:hAnsi="Times New Roman" w:eastAsia="宋体" w:cs="Times New Roman"/>
          <w:color w:val="000000" w:themeColor="text1"/>
          <w:sz w:val="28"/>
          <w:szCs w:val="28"/>
          <w:lang w:val="zh-CN"/>
          <w14:textFill>
            <w14:solidFill>
              <w14:schemeClr w14:val="tx1"/>
            </w14:solidFill>
          </w14:textFill>
        </w:rPr>
        <w:t>等设备设施</w:t>
      </w:r>
      <w:r>
        <w:rPr>
          <w:rFonts w:hint="default" w:ascii="Times New Roman" w:hAnsi="Times New Roman" w:cs="Times New Roman"/>
          <w:color w:val="000000" w:themeColor="text1"/>
          <w:sz w:val="28"/>
          <w:szCs w:val="28"/>
          <w:lang w:val="zh-CN"/>
          <w14:textFill>
            <w14:solidFill>
              <w14:schemeClr w14:val="tx1"/>
            </w14:solidFill>
          </w14:textFill>
        </w:rPr>
        <w:t>，如果操作人员出现人的不安全行为：操作判断失误；控制与操纵不良；技术不熟练；违章作业等；如果设备设施出现物的不安全状态：防护设施不完善；机本身出现故障；安全警示标示不足；紧急停车装置失灵等；都可能会出现机械伤害的危险。</w:t>
      </w:r>
    </w:p>
    <w:p w14:paraId="6EF6A348">
      <w:pPr>
        <w:autoSpaceDE w:val="0"/>
        <w:autoSpaceDN w:val="0"/>
        <w:adjustRightInd w:val="0"/>
        <w:snapToGrid w:val="0"/>
        <w:spacing w:line="500" w:lineRule="exact"/>
        <w:ind w:firstLine="562" w:firstLineChars="200"/>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2</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触电</w:t>
      </w:r>
    </w:p>
    <w:p w14:paraId="33597005">
      <w:pPr>
        <w:autoSpaceDE w:val="0"/>
        <w:autoSpaceDN w:val="0"/>
        <w:adjustRightInd w:val="0"/>
        <w:snapToGrid w:val="0"/>
        <w:spacing w:line="500" w:lineRule="exact"/>
        <w:ind w:firstLine="560" w:firstLineChars="200"/>
        <w:jc w:val="left"/>
        <w:textAlignment w:val="center"/>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使用的破碎机等机械设备，可能发生触电伤害。在作业生产运行中如果由于设备质量不佳，绝缘性能不好；现场环境恶劣（高温、潮湿、振动）、运行不当、机械损伤、维修不善导致绝缘老化破损；设计不合理、安装工艺不规范、各种电气安全净距离不够；安全措施和安全技术措施不完备、违章操作、保护失灵等原因，若人体不慎触及带电体或过分靠近带电部分，都有可能发生电击、电灼伤的触电危险。高压设备和线路，因其电压值高，电场强度大，触电的潜在危险更大。</w:t>
      </w:r>
    </w:p>
    <w:p w14:paraId="6A046B4C">
      <w:pPr>
        <w:autoSpaceDE w:val="0"/>
        <w:autoSpaceDN w:val="0"/>
        <w:adjustRightInd w:val="0"/>
        <w:snapToGrid w:val="0"/>
        <w:spacing w:line="500" w:lineRule="exact"/>
        <w:ind w:firstLine="562" w:firstLineChars="200"/>
        <w:jc w:val="left"/>
        <w:textAlignment w:val="center"/>
        <w:rPr>
          <w:rFonts w:hint="eastAsia" w:ascii="宋体" w:hAnsi="宋体" w:eastAsia="宋体" w:cs="宋体"/>
          <w:b/>
          <w:color w:val="000000" w:themeColor="text1"/>
          <w:sz w:val="28"/>
          <w:szCs w:val="28"/>
          <w:lang w:val="zh-CN"/>
          <w14:textFill>
            <w14:solidFill>
              <w14:schemeClr w14:val="tx1"/>
            </w14:solidFill>
          </w14:textFill>
        </w:rPr>
      </w:pPr>
      <w:r>
        <w:rPr>
          <w:rFonts w:hint="eastAsia" w:ascii="宋体" w:hAnsi="宋体" w:eastAsia="宋体" w:cs="宋体"/>
          <w:b/>
          <w:color w:val="000000" w:themeColor="text1"/>
          <w:sz w:val="28"/>
          <w:szCs w:val="28"/>
          <w:lang w:val="zh-CN"/>
          <w14:textFill>
            <w14:solidFill>
              <w14:schemeClr w14:val="tx1"/>
            </w14:solidFill>
          </w14:textFill>
        </w:rPr>
        <w:t>3</w:t>
      </w:r>
      <w:r>
        <w:rPr>
          <w:rFonts w:hint="eastAsia" w:hAnsi="宋体" w:cs="宋体"/>
          <w:b/>
          <w:color w:val="000000" w:themeColor="text1"/>
          <w:sz w:val="28"/>
          <w:szCs w:val="28"/>
          <w:lang w:val="zh-CN"/>
          <w14:textFill>
            <w14:solidFill>
              <w14:schemeClr w14:val="tx1"/>
            </w14:solidFill>
          </w14:textFill>
        </w:rPr>
        <w:t>.</w:t>
      </w:r>
      <w:r>
        <w:rPr>
          <w:rFonts w:hint="eastAsia" w:ascii="宋体" w:hAnsi="宋体" w:eastAsia="宋体" w:cs="宋体"/>
          <w:b/>
          <w:color w:val="000000" w:themeColor="text1"/>
          <w:sz w:val="28"/>
          <w:szCs w:val="28"/>
          <w:lang w:val="zh-CN"/>
          <w14:textFill>
            <w14:solidFill>
              <w14:schemeClr w14:val="tx1"/>
            </w14:solidFill>
          </w14:textFill>
        </w:rPr>
        <w:t>坍塌</w:t>
      </w:r>
    </w:p>
    <w:p w14:paraId="05A03AC8">
      <w:pPr>
        <w:autoSpaceDE w:val="0"/>
        <w:autoSpaceDN w:val="0"/>
        <w:adjustRightInd w:val="0"/>
        <w:snapToGrid w:val="0"/>
        <w:spacing w:line="500" w:lineRule="exact"/>
        <w:ind w:firstLine="560" w:firstLineChars="200"/>
        <w:jc w:val="left"/>
        <w:textAlignment w:val="center"/>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val="zh-CN"/>
          <w14:textFill>
            <w14:solidFill>
              <w14:schemeClr w14:val="tx1"/>
            </w14:solidFill>
          </w14:textFill>
        </w:rPr>
        <w:t>）原料堆放过高，或者原料堆场受到大量雨水冲击，或者原料破碎区域地基不稳等因素而引起坍塌。</w:t>
      </w:r>
    </w:p>
    <w:p w14:paraId="5FC203BB">
      <w:pPr>
        <w:autoSpaceDE w:val="0"/>
        <w:autoSpaceDN w:val="0"/>
        <w:adjustRightInd w:val="0"/>
        <w:snapToGrid w:val="0"/>
        <w:spacing w:line="500" w:lineRule="exact"/>
        <w:ind w:firstLine="560" w:firstLineChars="200"/>
        <w:jc w:val="left"/>
        <w:textAlignment w:val="center"/>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2</w:t>
      </w:r>
      <w:r>
        <w:rPr>
          <w:rFonts w:hint="eastAsia" w:ascii="宋体" w:hAnsi="宋体" w:eastAsia="宋体" w:cs="宋体"/>
          <w:color w:val="000000" w:themeColor="text1"/>
          <w:sz w:val="28"/>
          <w:szCs w:val="28"/>
          <w:lang w:val="zh-CN"/>
          <w14:textFill>
            <w14:solidFill>
              <w14:schemeClr w14:val="tx1"/>
            </w14:solidFill>
          </w14:textFill>
        </w:rPr>
        <w:t>）人员缺乏安全知识或经验不足，不按施工方案作业，违章指挥，违章操作，从而触发了危险因素，造成了坍塌或倒塌事故。</w:t>
      </w:r>
    </w:p>
    <w:p w14:paraId="6747297F">
      <w:pPr>
        <w:autoSpaceDE w:val="0"/>
        <w:autoSpaceDN w:val="0"/>
        <w:adjustRightInd w:val="0"/>
        <w:snapToGrid w:val="0"/>
        <w:spacing w:line="500" w:lineRule="exact"/>
        <w:ind w:firstLine="562" w:firstLineChars="200"/>
        <w:jc w:val="left"/>
        <w:textAlignment w:val="center"/>
        <w:rPr>
          <w:rFonts w:hint="eastAsia" w:ascii="宋体" w:hAnsi="宋体" w:eastAsia="宋体" w:cs="宋体"/>
          <w:b/>
          <w:color w:val="000000" w:themeColor="text1"/>
          <w:sz w:val="28"/>
          <w:szCs w:val="28"/>
          <w:lang w:val="zh-CN"/>
          <w14:textFill>
            <w14:solidFill>
              <w14:schemeClr w14:val="tx1"/>
            </w14:solidFill>
          </w14:textFill>
        </w:rPr>
      </w:pPr>
      <w:r>
        <w:rPr>
          <w:rFonts w:hint="eastAsia" w:ascii="宋体" w:hAnsi="宋体" w:eastAsia="宋体" w:cs="宋体"/>
          <w:b/>
          <w:color w:val="000000" w:themeColor="text1"/>
          <w:sz w:val="28"/>
          <w:szCs w:val="28"/>
          <w:lang w:val="zh-CN"/>
          <w14:textFill>
            <w14:solidFill>
              <w14:schemeClr w14:val="tx1"/>
            </w14:solidFill>
          </w14:textFill>
        </w:rPr>
        <w:t>4</w:t>
      </w:r>
      <w:r>
        <w:rPr>
          <w:rFonts w:hint="eastAsia" w:hAnsi="宋体" w:cs="宋体"/>
          <w:b/>
          <w:color w:val="000000" w:themeColor="text1"/>
          <w:sz w:val="28"/>
          <w:szCs w:val="28"/>
          <w:lang w:val="zh-CN"/>
          <w14:textFill>
            <w14:solidFill>
              <w14:schemeClr w14:val="tx1"/>
            </w14:solidFill>
          </w14:textFill>
        </w:rPr>
        <w:t>.</w:t>
      </w:r>
      <w:r>
        <w:rPr>
          <w:rFonts w:hint="eastAsia" w:ascii="宋体" w:hAnsi="宋体" w:eastAsia="宋体" w:cs="宋体"/>
          <w:b/>
          <w:color w:val="000000" w:themeColor="text1"/>
          <w:sz w:val="28"/>
          <w:szCs w:val="28"/>
          <w:lang w:val="zh-CN"/>
          <w14:textFill>
            <w14:solidFill>
              <w14:schemeClr w14:val="tx1"/>
            </w14:solidFill>
          </w14:textFill>
        </w:rPr>
        <w:t>职业危害</w:t>
      </w:r>
    </w:p>
    <w:p w14:paraId="73D10C24">
      <w:pPr>
        <w:snapToGrid w:val="0"/>
        <w:spacing w:line="500" w:lineRule="exact"/>
        <w:ind w:firstLine="560" w:firstLineChars="200"/>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val="zh-CN"/>
          <w14:textFill>
            <w14:solidFill>
              <w14:schemeClr w14:val="tx1"/>
            </w14:solidFill>
          </w14:textFill>
        </w:rPr>
        <w:t>）粉尘危害</w:t>
      </w:r>
    </w:p>
    <w:p w14:paraId="3931E954">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原料破碎工段生产过程中用到破碎机，</w:t>
      </w:r>
      <w:r>
        <w:rPr>
          <w:rFonts w:hint="default" w:ascii="Times New Roman" w:hAnsi="Times New Roman" w:cs="Times New Roman"/>
          <w:color w:val="000000" w:themeColor="text1"/>
          <w:sz w:val="28"/>
          <w:szCs w:val="28"/>
          <w:lang w:val="zh-CN"/>
          <w14:textFill>
            <w14:solidFill>
              <w14:schemeClr w14:val="tx1"/>
            </w14:solidFill>
          </w14:textFill>
        </w:rPr>
        <w:t>在原料破碎过程中会产生一定的粉尘，该工段中的粉尘对操作人员健康有一定危害，若无防尘设施或防尘设施存在缺陷或者未正确使用个人防护用品等，会对从业人员健康造成一定的职业危害。</w:t>
      </w:r>
    </w:p>
    <w:p w14:paraId="13E0A639">
      <w:pPr>
        <w:adjustRightInd w:val="0"/>
        <w:snapToGrid w:val="0"/>
        <w:spacing w:line="500" w:lineRule="exact"/>
        <w:ind w:firstLine="560" w:firstLineChars="200"/>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2</w:t>
      </w:r>
      <w:r>
        <w:rPr>
          <w:rFonts w:hint="default" w:ascii="Times New Roman" w:hAnsi="Times New Roman" w:cs="Times New Roman"/>
          <w:color w:val="000000" w:themeColor="text1"/>
          <w:sz w:val="28"/>
          <w:szCs w:val="28"/>
          <w:lang w:val="zh-CN"/>
          <w14:textFill>
            <w14:solidFill>
              <w14:schemeClr w14:val="tx1"/>
            </w14:solidFill>
          </w14:textFill>
        </w:rPr>
        <w:t>）噪声危害</w:t>
      </w:r>
    </w:p>
    <w:p w14:paraId="7445CFC0">
      <w:pPr>
        <w:adjustRightInd w:val="0"/>
        <w:snapToGrid w:val="0"/>
        <w:spacing w:line="500" w:lineRule="exact"/>
        <w:ind w:firstLine="560"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原料破碎工段生产过程中用到的破碎机会产生一定的噪声，若无减震设施或者基础不牢等缺陷或者操作人员未正确使用个人防护用品等，会对从业人员健康造成一定的职业危害</w:t>
      </w:r>
      <w:r>
        <w:rPr>
          <w:rFonts w:hint="default" w:ascii="Times New Roman" w:hAnsi="Times New Roman" w:cs="Times New Roman"/>
          <w:color w:val="000000" w:themeColor="text1"/>
          <w:spacing w:val="8"/>
          <w:sz w:val="28"/>
          <w:szCs w:val="28"/>
          <w14:textFill>
            <w14:solidFill>
              <w14:schemeClr w14:val="tx1"/>
            </w14:solidFill>
          </w14:textFill>
        </w:rPr>
        <w:t>。</w:t>
      </w:r>
    </w:p>
    <w:p w14:paraId="60C029D3">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kern w:val="0"/>
          <w14:textFill>
            <w14:solidFill>
              <w14:schemeClr w14:val="tx1"/>
            </w14:solidFill>
          </w14:textFill>
        </w:rPr>
        <w:t>3.5.3.2搅拌工段危险、有害因素辨识</w:t>
      </w:r>
    </w:p>
    <w:p w14:paraId="3C70D886">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搅拌工段：</w:t>
      </w:r>
      <w:r>
        <w:rPr>
          <w:rFonts w:hint="default" w:ascii="Times New Roman" w:hAnsi="Times New Roman" w:cs="Times New Roman"/>
          <w:color w:val="000000" w:themeColor="text1"/>
          <w:sz w:val="28"/>
          <w:szCs w:val="28"/>
          <w14:textFill>
            <w14:solidFill>
              <w14:schemeClr w14:val="tx1"/>
            </w14:solidFill>
          </w14:textFill>
        </w:rPr>
        <w:t>页岩矿、煤矸石</w:t>
      </w:r>
      <w:r>
        <w:rPr>
          <w:rFonts w:hint="default" w:ascii="Times New Roman" w:hAnsi="Times New Roman" w:cs="Times New Roman"/>
          <w:color w:val="000000" w:themeColor="text1"/>
          <w:sz w:val="28"/>
          <w:szCs w:val="28"/>
          <w:lang w:val="zh-CN"/>
          <w14:textFill>
            <w14:solidFill>
              <w14:schemeClr w14:val="tx1"/>
            </w14:solidFill>
          </w14:textFill>
        </w:rPr>
        <w:t>通过一定的配比进入配料机进行配料后，进入搅拌机，加一定水分后进行搅拌，最后通过输送皮带送入挤压成型机。</w:t>
      </w:r>
    </w:p>
    <w:p w14:paraId="4876B4B6">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在原料配比搅拌工段中主要的危险、危害因素有机械伤害、触电、粉尘和噪声职业危害等。</w:t>
      </w:r>
    </w:p>
    <w:p w14:paraId="53A87C5D">
      <w:pPr>
        <w:autoSpaceDE w:val="0"/>
        <w:autoSpaceDN w:val="0"/>
        <w:adjustRightInd w:val="0"/>
        <w:snapToGrid w:val="0"/>
        <w:spacing w:line="500" w:lineRule="exact"/>
        <w:ind w:firstLine="562" w:firstLineChars="200"/>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1</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机械伤害</w:t>
      </w:r>
    </w:p>
    <w:p w14:paraId="4F8A650E">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搅拌工段用到搅拌机等设备设施，如果操作人员出现人的不安全行为：操作判断失误；控制与操纵不良；技术不熟练；违章作业等；如果设备设施出现物的不安全状态：防护设施不完善；机本身出现故障；安全警示标示不足；紧急停车装置失灵等；都可能会出现机械伤害的危险。</w:t>
      </w:r>
    </w:p>
    <w:p w14:paraId="309B636F">
      <w:pPr>
        <w:autoSpaceDE w:val="0"/>
        <w:autoSpaceDN w:val="0"/>
        <w:adjustRightInd w:val="0"/>
        <w:snapToGrid w:val="0"/>
        <w:spacing w:line="500" w:lineRule="exact"/>
        <w:ind w:firstLine="562" w:firstLineChars="200"/>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2</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触电</w:t>
      </w:r>
    </w:p>
    <w:p w14:paraId="228F3FF8">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使用的搅拌机等机械设备，可能发生触电伤害。在作业生产运行中如果由于设备质量不佳，绝缘性能不好；现场环境恶劣（高温、潮湿、振动）、运行不当、机械损伤、维修不善导致绝缘老化破损；设计不合理、安装工艺不规范、各种电气安全净距离不够；安全措施和安全技术措施不完备、违章操作、保护失灵等原因，若人体不慎触及带电体或过分靠近带电部分，都有可能发生电击、电灼伤的触电危险。高压设备和线路，因其电压值高，电场强度大，触电的潜在危险更大。</w:t>
      </w:r>
    </w:p>
    <w:p w14:paraId="06498C23">
      <w:pPr>
        <w:autoSpaceDE w:val="0"/>
        <w:autoSpaceDN w:val="0"/>
        <w:adjustRightInd w:val="0"/>
        <w:snapToGrid w:val="0"/>
        <w:spacing w:line="500" w:lineRule="exact"/>
        <w:ind w:firstLine="562" w:firstLineChars="200"/>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3</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职业危害</w:t>
      </w:r>
    </w:p>
    <w:p w14:paraId="14E6D16C">
      <w:pPr>
        <w:adjustRightInd w:val="0"/>
        <w:snapToGrid w:val="0"/>
        <w:spacing w:line="500" w:lineRule="exact"/>
        <w:ind w:firstLine="562" w:firstLineChars="200"/>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（1）粉尘危害</w:t>
      </w:r>
    </w:p>
    <w:p w14:paraId="1A1D2891">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搅拌工段生产过程中存在原料配比过程，该过程中会产生一定的扬尘，该过程中的扬尘对操作人员健康有一定危害，若未正确使用个人防护用品等，会对从业人员健康造成一定的职业危害。</w:t>
      </w:r>
    </w:p>
    <w:p w14:paraId="7A08A991">
      <w:pPr>
        <w:adjustRightInd w:val="0"/>
        <w:snapToGrid w:val="0"/>
        <w:spacing w:line="500" w:lineRule="exact"/>
        <w:ind w:firstLine="562" w:firstLineChars="200"/>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（2）噪声危害</w:t>
      </w:r>
    </w:p>
    <w:p w14:paraId="1C67B7DE">
      <w:pPr>
        <w:adjustRightInd w:val="0"/>
        <w:snapToGrid w:val="0"/>
        <w:spacing w:line="500" w:lineRule="exact"/>
        <w:ind w:firstLine="560"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搅拌工段生产过程中用到的搅拌机会产生一定的噪声，若无减震设施或者基础不牢等缺陷或者操作人员未正确使用个人防护用品等，会对从业人员健康造成一定的职业危害</w:t>
      </w:r>
      <w:r>
        <w:rPr>
          <w:rFonts w:hint="default" w:ascii="Times New Roman" w:hAnsi="Times New Roman" w:cs="Times New Roman"/>
          <w:color w:val="000000" w:themeColor="text1"/>
          <w:spacing w:val="8"/>
          <w:sz w:val="28"/>
          <w:szCs w:val="28"/>
          <w14:textFill>
            <w14:solidFill>
              <w14:schemeClr w14:val="tx1"/>
            </w14:solidFill>
          </w14:textFill>
        </w:rPr>
        <w:t>。</w:t>
      </w:r>
    </w:p>
    <w:p w14:paraId="1BBB40A0">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kern w:val="0"/>
          <w14:textFill>
            <w14:solidFill>
              <w14:schemeClr w14:val="tx1"/>
            </w14:solidFill>
          </w14:textFill>
        </w:rPr>
        <w:t>3.5.3.3挤压成型工段危险、有害因素辨识</w:t>
      </w:r>
    </w:p>
    <w:p w14:paraId="3AFA46D2">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挤压成型工段：</w:t>
      </w:r>
      <w:r>
        <w:rPr>
          <w:rFonts w:hint="default" w:ascii="Times New Roman" w:hAnsi="Times New Roman" w:cs="Times New Roman"/>
          <w:color w:val="000000" w:themeColor="text1"/>
          <w:sz w:val="28"/>
          <w:szCs w:val="28"/>
          <w14:textFill>
            <w14:solidFill>
              <w14:schemeClr w14:val="tx1"/>
            </w14:solidFill>
          </w14:textFill>
        </w:rPr>
        <w:t>经过配比搅拌后的原料，通过皮带输送机送入挤压成型机，出预成品砖坯。</w:t>
      </w:r>
    </w:p>
    <w:p w14:paraId="37A0CC4B">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在挤压成型工段中主要的危险、危害因素有机械伤害、触电、噪声职业危害等。</w:t>
      </w:r>
    </w:p>
    <w:p w14:paraId="265277D7">
      <w:pPr>
        <w:autoSpaceDE w:val="0"/>
        <w:autoSpaceDN w:val="0"/>
        <w:adjustRightInd w:val="0"/>
        <w:snapToGrid w:val="0"/>
        <w:spacing w:line="500" w:lineRule="exact"/>
        <w:ind w:firstLine="562" w:firstLineChars="200"/>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1</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机械伤害</w:t>
      </w:r>
    </w:p>
    <w:p w14:paraId="41ACDFCA">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挤压成型工段用到挤压成型机等设备设施，如果操作人员出现人的不安全行为：操作判断失误；控制与操纵不良；技术不熟练；违章作业等；如果设备设施出现物的不安全状态：防护设施不完善；机本身出现故障；安全警示标示不足；紧急停车装置失灵等；都可能会出现机械伤害的危险。</w:t>
      </w:r>
    </w:p>
    <w:p w14:paraId="18EA47CF">
      <w:pPr>
        <w:autoSpaceDE w:val="0"/>
        <w:autoSpaceDN w:val="0"/>
        <w:adjustRightInd w:val="0"/>
        <w:snapToGrid w:val="0"/>
        <w:spacing w:line="500" w:lineRule="exact"/>
        <w:ind w:firstLine="562" w:firstLineChars="200"/>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2</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触电</w:t>
      </w:r>
    </w:p>
    <w:p w14:paraId="77810D88">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使用的挤压成型机等机械设备，可能发生触电伤害。在作业生产运行中如果由于设备质量不佳，绝缘性能不好；现场环境恶劣（高温、潮湿、振动）、运行不当、机械损伤、维修不善导致绝缘老化破损；设计不合理、安装工艺不规范、各种电气安全净距离不够；安全措施和安全技术措施不完备、违章操作、保护失灵等原因，若人体不慎触及带电体或过分靠近带电部分，都有可能发生电击、电灼伤的触电危险。高压设备和线路，因其电压值高，电场强度大，触电的潜在危险更大。</w:t>
      </w:r>
    </w:p>
    <w:p w14:paraId="0091378C">
      <w:pPr>
        <w:autoSpaceDE w:val="0"/>
        <w:autoSpaceDN w:val="0"/>
        <w:adjustRightInd w:val="0"/>
        <w:snapToGrid w:val="0"/>
        <w:spacing w:line="500" w:lineRule="exact"/>
        <w:ind w:firstLine="562" w:firstLineChars="200"/>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3</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噪声危害</w:t>
      </w:r>
    </w:p>
    <w:p w14:paraId="429113CE">
      <w:pPr>
        <w:adjustRightInd w:val="0"/>
        <w:snapToGrid w:val="0"/>
        <w:spacing w:line="500" w:lineRule="exact"/>
        <w:ind w:firstLine="560"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挤压成型工段生产过程中用到的挤压成型机会产生一定的噪声，若无减震设施或者基础不牢等缺陷或者操作人员未正确使用个人防护用品等，会对从业人员健康造成一定的职业危害</w:t>
      </w:r>
      <w:r>
        <w:rPr>
          <w:rFonts w:hint="default" w:ascii="Times New Roman" w:hAnsi="Times New Roman" w:cs="Times New Roman"/>
          <w:color w:val="000000" w:themeColor="text1"/>
          <w:spacing w:val="8"/>
          <w:sz w:val="28"/>
          <w:szCs w:val="28"/>
          <w14:textFill>
            <w14:solidFill>
              <w14:schemeClr w14:val="tx1"/>
            </w14:solidFill>
          </w14:textFill>
        </w:rPr>
        <w:t>。</w:t>
      </w:r>
    </w:p>
    <w:p w14:paraId="0862A739">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kern w:val="0"/>
          <w14:textFill>
            <w14:solidFill>
              <w14:schemeClr w14:val="tx1"/>
            </w14:solidFill>
          </w14:textFill>
        </w:rPr>
        <w:t>3.5.3.4切坯、码坯工段危险、有害因素辨识</w:t>
      </w:r>
    </w:p>
    <w:p w14:paraId="2C21CC82">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切坯、</w:t>
      </w:r>
      <w:r>
        <w:rPr>
          <w:rFonts w:hint="default" w:ascii="Times New Roman" w:hAnsi="Times New Roman" w:cs="Times New Roman"/>
          <w:color w:val="000000" w:themeColor="text1"/>
          <w:sz w:val="28"/>
          <w:szCs w:val="28"/>
          <w:lang w:val="zh-CN"/>
          <w14:textFill>
            <w14:solidFill>
              <w14:schemeClr w14:val="tx1"/>
            </w14:solidFill>
          </w14:textFill>
        </w:rPr>
        <w:t>码坯工段：</w:t>
      </w:r>
      <w:r>
        <w:rPr>
          <w:rFonts w:hint="default" w:ascii="Times New Roman" w:hAnsi="Times New Roman" w:cs="Times New Roman"/>
          <w:color w:val="000000" w:themeColor="text1"/>
          <w:sz w:val="28"/>
          <w:szCs w:val="28"/>
          <w14:textFill>
            <w14:solidFill>
              <w14:schemeClr w14:val="tx1"/>
            </w14:solidFill>
          </w14:textFill>
        </w:rPr>
        <w:t>预成品砖坯，经切坯机按要求切块，出预成品砖，用码坯机把预成品砖坯规则的放在窑车上。</w:t>
      </w:r>
    </w:p>
    <w:p w14:paraId="68FAD9D5">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在</w:t>
      </w:r>
      <w:r>
        <w:rPr>
          <w:rFonts w:hint="default" w:ascii="Times New Roman" w:hAnsi="Times New Roman" w:cs="Times New Roman"/>
          <w:color w:val="000000" w:themeColor="text1"/>
          <w:sz w:val="28"/>
          <w:szCs w:val="28"/>
          <w14:textFill>
            <w14:solidFill>
              <w14:schemeClr w14:val="tx1"/>
            </w14:solidFill>
          </w14:textFill>
        </w:rPr>
        <w:t>切坯、</w:t>
      </w:r>
      <w:r>
        <w:rPr>
          <w:rFonts w:hint="default" w:ascii="Times New Roman" w:hAnsi="Times New Roman" w:cs="Times New Roman"/>
          <w:color w:val="000000" w:themeColor="text1"/>
          <w:sz w:val="28"/>
          <w:szCs w:val="28"/>
          <w:lang w:val="zh-CN"/>
          <w14:textFill>
            <w14:solidFill>
              <w14:schemeClr w14:val="tx1"/>
            </w14:solidFill>
          </w14:textFill>
        </w:rPr>
        <w:t>码坯工段中主要的危险、危害因素有机械伤害、触电、噪声职业危害等。</w:t>
      </w:r>
    </w:p>
    <w:p w14:paraId="625E5EF2">
      <w:pPr>
        <w:autoSpaceDE w:val="0"/>
        <w:autoSpaceDN w:val="0"/>
        <w:adjustRightInd w:val="0"/>
        <w:snapToGrid w:val="0"/>
        <w:spacing w:line="500" w:lineRule="exact"/>
        <w:ind w:firstLine="551" w:firstLineChars="196"/>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1</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机械伤害</w:t>
      </w:r>
    </w:p>
    <w:p w14:paraId="5B299652">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切坯、</w:t>
      </w:r>
      <w:r>
        <w:rPr>
          <w:rFonts w:hint="default" w:ascii="Times New Roman" w:hAnsi="Times New Roman" w:cs="Times New Roman"/>
          <w:color w:val="000000" w:themeColor="text1"/>
          <w:sz w:val="28"/>
          <w:szCs w:val="28"/>
          <w:lang w:val="zh-CN"/>
          <w14:textFill>
            <w14:solidFill>
              <w14:schemeClr w14:val="tx1"/>
            </w14:solidFill>
          </w14:textFill>
        </w:rPr>
        <w:t>码坯工段用到</w:t>
      </w:r>
      <w:r>
        <w:rPr>
          <w:rFonts w:hint="default" w:ascii="Times New Roman" w:hAnsi="Times New Roman" w:cs="Times New Roman"/>
          <w:color w:val="000000" w:themeColor="text1"/>
          <w:sz w:val="28"/>
          <w:szCs w:val="28"/>
          <w14:textFill>
            <w14:solidFill>
              <w14:schemeClr w14:val="tx1"/>
            </w14:solidFill>
          </w14:textFill>
        </w:rPr>
        <w:t>切坯机、</w:t>
      </w:r>
      <w:r>
        <w:rPr>
          <w:rFonts w:hint="default" w:ascii="Times New Roman" w:hAnsi="Times New Roman" w:cs="Times New Roman"/>
          <w:color w:val="000000" w:themeColor="text1"/>
          <w:sz w:val="28"/>
          <w:szCs w:val="28"/>
          <w:lang w:val="zh-CN"/>
          <w14:textFill>
            <w14:solidFill>
              <w14:schemeClr w14:val="tx1"/>
            </w14:solidFill>
          </w14:textFill>
        </w:rPr>
        <w:t>码坯机等设备设施，如果操作人员出现人的不安全行为：操作判断失误；控制与操纵不良；技术不熟练；违章作业等；如果设备设施出现物的不安全状态：防护设施不完善；机本身出现故障；安全警示标示不足；紧急停车装置失灵等；都可能会出现机械伤害的危险。</w:t>
      </w:r>
    </w:p>
    <w:p w14:paraId="565111D8">
      <w:pPr>
        <w:autoSpaceDE w:val="0"/>
        <w:autoSpaceDN w:val="0"/>
        <w:adjustRightInd w:val="0"/>
        <w:snapToGrid w:val="0"/>
        <w:spacing w:line="500" w:lineRule="exact"/>
        <w:ind w:firstLine="551" w:firstLineChars="196"/>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2</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触电</w:t>
      </w:r>
    </w:p>
    <w:p w14:paraId="464A5251">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使用</w:t>
      </w:r>
      <w:r>
        <w:rPr>
          <w:rFonts w:hint="default" w:ascii="Times New Roman" w:hAnsi="Times New Roman" w:cs="Times New Roman"/>
          <w:color w:val="000000" w:themeColor="text1"/>
          <w:sz w:val="28"/>
          <w:szCs w:val="28"/>
          <w14:textFill>
            <w14:solidFill>
              <w14:schemeClr w14:val="tx1"/>
            </w14:solidFill>
          </w14:textFill>
        </w:rPr>
        <w:t>切坯机、</w:t>
      </w:r>
      <w:r>
        <w:rPr>
          <w:rFonts w:hint="default" w:ascii="Times New Roman" w:hAnsi="Times New Roman" w:cs="Times New Roman"/>
          <w:color w:val="000000" w:themeColor="text1"/>
          <w:sz w:val="28"/>
          <w:szCs w:val="28"/>
          <w:lang w:val="zh-CN"/>
          <w14:textFill>
            <w14:solidFill>
              <w14:schemeClr w14:val="tx1"/>
            </w14:solidFill>
          </w14:textFill>
        </w:rPr>
        <w:t>码坯机等机械设备，可能发生触电伤害。在作业生产运行中如果由于设备质量不佳，绝缘性能不好；现场环境恶劣（高温、潮湿、振动）、运行不当、机械损伤、维修不善导致绝缘老化破损；设计不合理、安装工艺不规范、各种电气安全净距离不够；安全措施和安全技术措施不完备、违章操作、保护失灵等原因，若人体不慎触及带电体或过分靠近带电部分，都有可能发生电击、电灼伤的触电危险。</w:t>
      </w:r>
    </w:p>
    <w:p w14:paraId="05F148F5">
      <w:pPr>
        <w:autoSpaceDE w:val="0"/>
        <w:autoSpaceDN w:val="0"/>
        <w:adjustRightInd w:val="0"/>
        <w:snapToGrid w:val="0"/>
        <w:spacing w:line="500" w:lineRule="exact"/>
        <w:ind w:firstLine="551" w:firstLineChars="196"/>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3</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噪声危害</w:t>
      </w:r>
    </w:p>
    <w:p w14:paraId="185B8452">
      <w:pPr>
        <w:numPr>
          <w:ilvl w:val="0"/>
          <w:numId w:val="0"/>
        </w:numPr>
        <w:adjustRightInd w:val="0"/>
        <w:snapToGrid w:val="0"/>
        <w:spacing w:line="500" w:lineRule="exact"/>
        <w:ind w:firstLine="560"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切坯机、</w:t>
      </w:r>
      <w:r>
        <w:rPr>
          <w:rFonts w:hint="default" w:ascii="Times New Roman" w:hAnsi="Times New Roman" w:cs="Times New Roman"/>
          <w:color w:val="000000" w:themeColor="text1"/>
          <w:sz w:val="28"/>
          <w:szCs w:val="28"/>
          <w:lang w:val="zh-CN"/>
          <w14:textFill>
            <w14:solidFill>
              <w14:schemeClr w14:val="tx1"/>
            </w14:solidFill>
          </w14:textFill>
        </w:rPr>
        <w:t>码坯机会产生一定的噪声，若无减震设施或者基础不牢等缺陷或者操作人员未正确使用个人防护用品等，会对从业人员健康造成一定的职业危害</w:t>
      </w:r>
      <w:r>
        <w:rPr>
          <w:rFonts w:hint="default" w:ascii="Times New Roman" w:hAnsi="Times New Roman" w:cs="Times New Roman"/>
          <w:color w:val="000000" w:themeColor="text1"/>
          <w:spacing w:val="8"/>
          <w:sz w:val="28"/>
          <w:szCs w:val="28"/>
          <w14:textFill>
            <w14:solidFill>
              <w14:schemeClr w14:val="tx1"/>
            </w14:solidFill>
          </w14:textFill>
        </w:rPr>
        <w:t>。</w:t>
      </w:r>
    </w:p>
    <w:p w14:paraId="6259F867">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kern w:val="0"/>
          <w14:textFill>
            <w14:solidFill>
              <w14:schemeClr w14:val="tx1"/>
            </w14:solidFill>
          </w14:textFill>
        </w:rPr>
        <w:t>3.5.3.5半成品堆场工段危险、有害因素辨识</w:t>
      </w:r>
    </w:p>
    <w:p w14:paraId="661B1EF0">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半成品堆场</w:t>
      </w:r>
      <w:r>
        <w:rPr>
          <w:rFonts w:hint="default" w:ascii="Times New Roman" w:hAnsi="Times New Roman" w:cs="Times New Roman"/>
          <w:color w:val="000000" w:themeColor="text1"/>
          <w:sz w:val="28"/>
          <w:szCs w:val="28"/>
          <w:lang w:val="zh-CN"/>
          <w14:textFill>
            <w14:solidFill>
              <w14:schemeClr w14:val="tx1"/>
            </w14:solidFill>
          </w14:textFill>
        </w:rPr>
        <w:t>工段：</w:t>
      </w:r>
      <w:r>
        <w:rPr>
          <w:rFonts w:hint="default" w:ascii="Times New Roman" w:hAnsi="Times New Roman" w:cs="Times New Roman"/>
          <w:color w:val="000000" w:themeColor="text1"/>
          <w:sz w:val="28"/>
          <w:szCs w:val="28"/>
          <w14:textFill>
            <w14:solidFill>
              <w14:schemeClr w14:val="tx1"/>
            </w14:solidFill>
          </w14:textFill>
        </w:rPr>
        <w:t>挤压成型后的预成品砖坯，通过窑车运输至半成品堆场，进行干燥、养护，准备进入隧道窑。</w:t>
      </w:r>
    </w:p>
    <w:p w14:paraId="6B8ADC04">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在</w:t>
      </w:r>
      <w:r>
        <w:rPr>
          <w:rFonts w:hint="default" w:ascii="Times New Roman" w:hAnsi="Times New Roman" w:cs="Times New Roman"/>
          <w:color w:val="000000" w:themeColor="text1"/>
          <w:sz w:val="28"/>
          <w:szCs w:val="28"/>
          <w14:textFill>
            <w14:solidFill>
              <w14:schemeClr w14:val="tx1"/>
            </w14:solidFill>
          </w14:textFill>
        </w:rPr>
        <w:t>半成品堆场</w:t>
      </w:r>
      <w:r>
        <w:rPr>
          <w:rFonts w:hint="default" w:ascii="Times New Roman" w:hAnsi="Times New Roman" w:cs="Times New Roman"/>
          <w:color w:val="000000" w:themeColor="text1"/>
          <w:sz w:val="28"/>
          <w:szCs w:val="28"/>
          <w:lang w:val="zh-CN"/>
          <w14:textFill>
            <w14:solidFill>
              <w14:schemeClr w14:val="tx1"/>
            </w14:solidFill>
          </w14:textFill>
        </w:rPr>
        <w:t>工段中主要的危险、危害因素有机械伤害、粉尘职业危害等。</w:t>
      </w:r>
    </w:p>
    <w:p w14:paraId="11398A87">
      <w:pPr>
        <w:autoSpaceDE w:val="0"/>
        <w:autoSpaceDN w:val="0"/>
        <w:adjustRightInd w:val="0"/>
        <w:snapToGrid w:val="0"/>
        <w:spacing w:line="500" w:lineRule="exact"/>
        <w:ind w:firstLine="562" w:firstLineChars="200"/>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1</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机械伤害</w:t>
      </w:r>
    </w:p>
    <w:p w14:paraId="09DFD162">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半成品堆场用到窑车等机械设备，如果操作人员出现人的不安全行为：操作判断失误；控制与操纵不良；技术不熟练；违章作业等；如果设备设施出现物的不安全状态：防护设施不完善；机本身出现故障；安全警示标示不足；紧急停车装置失灵等；都可能会出现机械伤害的危险。</w:t>
      </w:r>
    </w:p>
    <w:p w14:paraId="69B72113">
      <w:pPr>
        <w:autoSpaceDE w:val="0"/>
        <w:autoSpaceDN w:val="0"/>
        <w:adjustRightInd w:val="0"/>
        <w:snapToGrid w:val="0"/>
        <w:spacing w:line="500" w:lineRule="exact"/>
        <w:ind w:firstLine="562" w:firstLineChars="200"/>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2</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粉尘危害</w:t>
      </w:r>
    </w:p>
    <w:p w14:paraId="5929B1A7">
      <w:pPr>
        <w:adjustRightInd w:val="0"/>
        <w:snapToGrid w:val="0"/>
        <w:spacing w:line="500" w:lineRule="exact"/>
        <w:ind w:firstLine="560"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半成品堆场工段养护过程中会产生一定的集尘，该过程中的集尘对操作人员健康有一定危害，若未正确使用个人防护用品等，会对从业人员健康造成一定的职业危害</w:t>
      </w:r>
      <w:r>
        <w:rPr>
          <w:rFonts w:hint="default" w:ascii="Times New Roman" w:hAnsi="Times New Roman" w:cs="Times New Roman"/>
          <w:color w:val="000000" w:themeColor="text1"/>
          <w:spacing w:val="8"/>
          <w:sz w:val="28"/>
          <w:szCs w:val="28"/>
          <w14:textFill>
            <w14:solidFill>
              <w14:schemeClr w14:val="tx1"/>
            </w14:solidFill>
          </w14:textFill>
        </w:rPr>
        <w:t>。</w:t>
      </w:r>
    </w:p>
    <w:p w14:paraId="17DFDCE7">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kern w:val="0"/>
          <w14:textFill>
            <w14:solidFill>
              <w14:schemeClr w14:val="tx1"/>
            </w14:solidFill>
          </w14:textFill>
        </w:rPr>
        <w:t>3.5.3.</w:t>
      </w:r>
      <w:r>
        <w:rPr>
          <w:rFonts w:hint="eastAsia" w:ascii="Times New Roman" w:hAnsi="Times New Roman" w:eastAsia="宋体" w:cs="Times New Roman"/>
          <w:color w:val="000000" w:themeColor="text1"/>
          <w:kern w:val="0"/>
          <w:lang w:val="en-US" w:eastAsia="zh-CN"/>
          <w14:textFill>
            <w14:solidFill>
              <w14:schemeClr w14:val="tx1"/>
            </w14:solidFill>
          </w14:textFill>
        </w:rPr>
        <w:t>6</w:t>
      </w:r>
      <w:r>
        <w:rPr>
          <w:rFonts w:hint="default" w:ascii="Times New Roman" w:hAnsi="Times New Roman" w:eastAsia="宋体" w:cs="Times New Roman"/>
          <w:color w:val="000000" w:themeColor="text1"/>
          <w:kern w:val="0"/>
          <w14:textFill>
            <w14:solidFill>
              <w14:schemeClr w14:val="tx1"/>
            </w14:solidFill>
          </w14:textFill>
        </w:rPr>
        <w:t>烘烤、焙烧工段危险、有害因素辨识</w:t>
      </w:r>
    </w:p>
    <w:p w14:paraId="4D5D5BB4">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烘烤、焙烧工段：</w:t>
      </w:r>
      <w:r>
        <w:rPr>
          <w:rFonts w:hint="default" w:ascii="Times New Roman" w:hAnsi="Times New Roman" w:cs="Times New Roman"/>
          <w:color w:val="000000" w:themeColor="text1"/>
          <w:sz w:val="28"/>
          <w:szCs w:val="28"/>
          <w14:textFill>
            <w14:solidFill>
              <w14:schemeClr w14:val="tx1"/>
            </w14:solidFill>
          </w14:textFill>
        </w:rPr>
        <w:t>进行干燥、养护后的砖块，通过窑车运输进入隧道窑，通过高温加热进行烘烤、焙烧。</w:t>
      </w:r>
    </w:p>
    <w:p w14:paraId="16ABB920">
      <w:pPr>
        <w:autoSpaceDE w:val="0"/>
        <w:autoSpaceDN w:val="0"/>
        <w:adjustRightInd w:val="0"/>
        <w:snapToGrid w:val="0"/>
        <w:spacing w:line="500" w:lineRule="exact"/>
        <w:ind w:firstLine="548" w:firstLineChars="196"/>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烘烤、焙烧</w:t>
      </w:r>
      <w:r>
        <w:rPr>
          <w:rFonts w:hint="default" w:ascii="Times New Roman" w:hAnsi="Times New Roman" w:cs="Times New Roman"/>
          <w:color w:val="000000" w:themeColor="text1"/>
          <w:sz w:val="28"/>
          <w:szCs w:val="28"/>
          <w:lang w:val="zh-CN"/>
          <w14:textFill>
            <w14:solidFill>
              <w14:schemeClr w14:val="tx1"/>
            </w14:solidFill>
          </w14:textFill>
        </w:rPr>
        <w:t>工段中主要的危险、危害因素有机械伤害、</w:t>
      </w:r>
      <w:r>
        <w:rPr>
          <w:rFonts w:hint="default" w:ascii="Times New Roman" w:hAnsi="Times New Roman" w:cs="Times New Roman"/>
          <w:color w:val="000000" w:themeColor="text1"/>
          <w:sz w:val="28"/>
          <w:szCs w:val="28"/>
          <w14:textFill>
            <w14:solidFill>
              <w14:schemeClr w14:val="tx1"/>
            </w14:solidFill>
          </w14:textFill>
        </w:rPr>
        <w:t>触电、坍塌、中毒和窒息、灼烫、</w:t>
      </w:r>
      <w:r>
        <w:rPr>
          <w:rFonts w:hint="default" w:ascii="Times New Roman" w:hAnsi="Times New Roman" w:cs="Times New Roman"/>
          <w:color w:val="000000" w:themeColor="text1"/>
          <w:sz w:val="28"/>
          <w:szCs w:val="28"/>
          <w:lang w:val="zh-CN"/>
          <w14:textFill>
            <w14:solidFill>
              <w14:schemeClr w14:val="tx1"/>
            </w14:solidFill>
          </w14:textFill>
        </w:rPr>
        <w:t>粉尘职业危害等。</w:t>
      </w:r>
    </w:p>
    <w:p w14:paraId="03E7D054">
      <w:pPr>
        <w:autoSpaceDE w:val="0"/>
        <w:autoSpaceDN w:val="0"/>
        <w:adjustRightInd w:val="0"/>
        <w:snapToGrid w:val="0"/>
        <w:spacing w:line="500" w:lineRule="exact"/>
        <w:ind w:firstLine="551" w:firstLineChars="196"/>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b/>
          <w:color w:val="000000" w:themeColor="text1"/>
          <w:sz w:val="28"/>
          <w:szCs w:val="28"/>
          <w:lang w:val="zh-CN"/>
          <w14:textFill>
            <w14:solidFill>
              <w14:schemeClr w14:val="tx1"/>
            </w14:solidFill>
          </w14:textFill>
        </w:rPr>
        <w:t>1</w:t>
      </w:r>
      <w:r>
        <w:rPr>
          <w:rFonts w:hint="eastAsia" w:ascii="Times New Roman" w:cs="Times New Roman"/>
          <w:b/>
          <w:color w:val="000000" w:themeColor="text1"/>
          <w:sz w:val="28"/>
          <w:szCs w:val="28"/>
          <w:lang w:val="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机械伤害</w:t>
      </w:r>
    </w:p>
    <w:p w14:paraId="4FB9C67C">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烘烤、焙烧工段用到窑车等机械设备，如果操作人员出现人的不安全行为：操作判断失误；控制与操纵不良；技术不熟练；违章作业等；如果设备设施出现物的不安全状态：防护设施不完善；机本身出现故障；安全警示标示不足；都可能会出现机械伤害的危险。</w:t>
      </w:r>
    </w:p>
    <w:p w14:paraId="0B0893C7">
      <w:pPr>
        <w:autoSpaceDE w:val="0"/>
        <w:autoSpaceDN w:val="0"/>
        <w:adjustRightInd w:val="0"/>
        <w:snapToGrid w:val="0"/>
        <w:spacing w:line="500" w:lineRule="exact"/>
        <w:ind w:firstLine="470" w:firstLineChars="196"/>
        <w:jc w:val="left"/>
        <w:textAlignment w:val="center"/>
        <w:rPr>
          <w:rFonts w:hint="default" w:ascii="Times New Roman" w:hAnsi="Times New Roman" w:cs="Times New Roman"/>
          <w:b/>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b/>
          <w:color w:val="000000" w:themeColor="text1"/>
          <w:sz w:val="28"/>
          <w:szCs w:val="28"/>
          <w:lang w:val="zh-CN"/>
          <w14:textFill>
            <w14:solidFill>
              <w14:schemeClr w14:val="tx1"/>
            </w14:solidFill>
          </w14:textFill>
        </w:rPr>
        <w:t>2</w:t>
      </w:r>
      <w:r>
        <w:rPr>
          <w:rFonts w:hint="eastAsia" w:ascii="Times New Roman" w:cs="Times New Roman"/>
          <w:b/>
          <w:color w:val="000000" w:themeColor="text1"/>
          <w:sz w:val="28"/>
          <w:szCs w:val="28"/>
          <w:lang w:val="en-US" w:eastAsia="zh-CN"/>
          <w14:textFill>
            <w14:solidFill>
              <w14:schemeClr w14:val="tx1"/>
            </w14:solidFill>
          </w14:textFill>
        </w:rPr>
        <w:t>.</w:t>
      </w:r>
      <w:r>
        <w:rPr>
          <w:rFonts w:hint="default" w:ascii="Times New Roman" w:hAnsi="Times New Roman" w:cs="Times New Roman"/>
          <w:b/>
          <w:color w:val="000000" w:themeColor="text1"/>
          <w:sz w:val="28"/>
          <w:szCs w:val="28"/>
          <w:lang w:val="zh-CN"/>
          <w14:textFill>
            <w14:solidFill>
              <w14:schemeClr w14:val="tx1"/>
            </w14:solidFill>
          </w14:textFill>
        </w:rPr>
        <w:t>触电</w:t>
      </w:r>
    </w:p>
    <w:p w14:paraId="6A6581DE">
      <w:pPr>
        <w:autoSpaceDE w:val="0"/>
        <w:autoSpaceDN w:val="0"/>
        <w:adjustRightInd w:val="0"/>
        <w:snapToGrid w:val="0"/>
        <w:spacing w:line="500" w:lineRule="exact"/>
        <w:ind w:firstLine="560" w:firstLineChars="200"/>
        <w:jc w:val="left"/>
        <w:textAlignment w:val="center"/>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使用窑车等机械设备，可能发生触电伤害。在作业生产运行中如果由于设备质量不佳，绝缘性能不好；若人体不慎触及带电体或过分靠近带电部分，都有可能发生电击、电灼伤的触电危险。高压设备和线路，因其电压值高，电场强度大，触电的潜在危险更大。</w:t>
      </w:r>
    </w:p>
    <w:p w14:paraId="7DFE08D8">
      <w:pPr>
        <w:autoSpaceDE w:val="0"/>
        <w:autoSpaceDN w:val="0"/>
        <w:adjustRightInd w:val="0"/>
        <w:snapToGrid w:val="0"/>
        <w:spacing w:line="500" w:lineRule="exact"/>
        <w:ind w:firstLine="551" w:firstLineChars="196"/>
        <w:jc w:val="left"/>
        <w:textAlignment w:val="cente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3</w:t>
      </w:r>
      <w:r>
        <w:rPr>
          <w:rFonts w:hint="eastAsia" w:ascii="Times New Roman" w:cs="Times New Roman"/>
          <w:b/>
          <w:color w:val="000000" w:themeColor="text1"/>
          <w:sz w:val="28"/>
          <w:szCs w:val="28"/>
          <w:lang w:val="en-US" w:eastAsia="zh-CN"/>
          <w14:textFill>
            <w14:solidFill>
              <w14:schemeClr w14:val="tx1"/>
            </w14:solidFill>
          </w14:textFill>
        </w:rPr>
        <w:t>.</w:t>
      </w:r>
      <w:r>
        <w:rPr>
          <w:rFonts w:hint="default" w:ascii="Times New Roman" w:hAnsi="Times New Roman" w:cs="Times New Roman"/>
          <w:b/>
          <w:color w:val="000000" w:themeColor="text1"/>
          <w:sz w:val="28"/>
          <w:szCs w:val="28"/>
          <w14:textFill>
            <w14:solidFill>
              <w14:schemeClr w14:val="tx1"/>
            </w14:solidFill>
          </w14:textFill>
        </w:rPr>
        <w:t>中毒和窒息</w:t>
      </w:r>
    </w:p>
    <w:p w14:paraId="7E106FA3">
      <w:pPr>
        <w:snapToGrid w:val="0"/>
        <w:spacing w:line="500" w:lineRule="exact"/>
        <w:ind w:firstLine="560"/>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在加煤烧砖过程中，煤</w:t>
      </w:r>
      <w:r>
        <w:rPr>
          <w:rFonts w:hint="default" w:ascii="Times New Roman" w:hAnsi="Times New Roman" w:cs="Times New Roman"/>
          <w:color w:val="000000" w:themeColor="text1"/>
          <w:sz w:val="28"/>
          <w:szCs w:val="28"/>
          <w14:textFill>
            <w14:solidFill>
              <w14:schemeClr w14:val="tx1"/>
            </w14:solidFill>
          </w14:textFill>
        </w:rPr>
        <w:t>在</w:t>
      </w:r>
      <w:r>
        <w:rPr>
          <w:rFonts w:hint="default" w:ascii="Times New Roman" w:hAnsi="Times New Roman" w:cs="Times New Roman"/>
          <w:color w:val="000000" w:themeColor="text1"/>
          <w:sz w:val="28"/>
          <w:szCs w:val="28"/>
          <w:lang w:val="zh-CN"/>
          <w14:textFill>
            <w14:solidFill>
              <w14:schemeClr w14:val="tx1"/>
            </w14:solidFill>
          </w14:textFill>
        </w:rPr>
        <w:t>燃烧产生CO、SO</w:t>
      </w:r>
      <w:r>
        <w:rPr>
          <w:rFonts w:hint="default" w:ascii="Times New Roman" w:hAnsi="Times New Roman" w:cs="Times New Roman"/>
          <w:color w:val="000000" w:themeColor="text1"/>
          <w:sz w:val="28"/>
          <w:szCs w:val="28"/>
          <w:vertAlign w:val="subscript"/>
          <w:lang w:val="zh-CN"/>
          <w14:textFill>
            <w14:solidFill>
              <w14:schemeClr w14:val="tx1"/>
            </w14:solidFill>
          </w14:textFill>
        </w:rPr>
        <w:t>2</w:t>
      </w:r>
      <w:r>
        <w:rPr>
          <w:rFonts w:hint="default" w:ascii="Times New Roman" w:hAnsi="Times New Roman" w:cs="Times New Roman"/>
          <w:color w:val="000000" w:themeColor="text1"/>
          <w:sz w:val="28"/>
          <w:szCs w:val="28"/>
          <w:lang w:val="zh-CN"/>
          <w14:textFill>
            <w14:solidFill>
              <w14:schemeClr w14:val="tx1"/>
            </w14:solidFill>
          </w14:textFill>
        </w:rPr>
        <w:t>以及页岩中的氟化物等有毒有害气体，存在人员中毒窒息的危险。</w:t>
      </w:r>
    </w:p>
    <w:p w14:paraId="2243E9A8">
      <w:pPr>
        <w:snapToGrid w:val="0"/>
        <w:spacing w:line="500" w:lineRule="exact"/>
        <w:ind w:firstLine="560"/>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1）烘烤、焙烧窑操作过程中，焙烧窑采用窑内抽气法收集煤炭燃烧过程中产生的有毒有害气体，</w:t>
      </w:r>
      <w:r>
        <w:rPr>
          <w:rFonts w:hint="default" w:ascii="Times New Roman" w:hAnsi="Times New Roman" w:cs="Times New Roman"/>
          <w:color w:val="000000" w:themeColor="text1"/>
          <w:sz w:val="28"/>
          <w:szCs w:val="28"/>
          <w14:textFill>
            <w14:solidFill>
              <w14:schemeClr w14:val="tx1"/>
            </w14:solidFill>
          </w14:textFill>
        </w:rPr>
        <w:t>通过脱硫系统脱硫后</w:t>
      </w:r>
      <w:r>
        <w:rPr>
          <w:rFonts w:hint="default" w:ascii="Times New Roman" w:hAnsi="Times New Roman" w:cs="Times New Roman"/>
          <w:color w:val="000000" w:themeColor="text1"/>
          <w:sz w:val="28"/>
          <w:szCs w:val="28"/>
          <w:lang w:val="zh-CN"/>
          <w14:textFill>
            <w14:solidFill>
              <w14:schemeClr w14:val="tx1"/>
            </w14:solidFill>
          </w14:textFill>
        </w:rPr>
        <w:t>，统一高空排放。操作人员通过焙烧窑上表面的加煤洞观察窑内砖的焙烧情况，并根据其情况加入煤炭。当焙烧窑烟囱、抽风机等收集排放设施正常工作时，不会出现有毒有害气体溢出，不会发生安全生产事故。当收集、排放有毒有害气体设施设备带病工作时，如密封窑体出现裂缝、抽风机抽风量不足等，存在有毒有害气体溢出的可能，在这种情况下，存在操作人员中毒窒息的隐患。</w:t>
      </w:r>
    </w:p>
    <w:p w14:paraId="3A8B9685">
      <w:pPr>
        <w:snapToGrid w:val="0"/>
        <w:spacing w:line="500" w:lineRule="exact"/>
        <w:ind w:firstLine="560"/>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2）有限空间作业，当针对焙烧窑内部通道进行检查维修时，如果操作不当，无有限空间操作规程，操作人员违规操作，维修人员进入焙烧窑，存在中毒</w:t>
      </w:r>
      <w:r>
        <w:rPr>
          <w:rFonts w:hint="default" w:ascii="Times New Roman" w:hAnsi="Times New Roman" w:cs="Times New Roman"/>
          <w:color w:val="000000" w:themeColor="text1"/>
          <w:sz w:val="28"/>
          <w:szCs w:val="28"/>
          <w14:textFill>
            <w14:solidFill>
              <w14:schemeClr w14:val="tx1"/>
            </w14:solidFill>
          </w14:textFill>
        </w:rPr>
        <w:t>和</w:t>
      </w:r>
      <w:r>
        <w:rPr>
          <w:rFonts w:hint="default" w:ascii="Times New Roman" w:hAnsi="Times New Roman" w:cs="Times New Roman"/>
          <w:color w:val="000000" w:themeColor="text1"/>
          <w:sz w:val="28"/>
          <w:szCs w:val="28"/>
          <w:lang w:val="zh-CN"/>
          <w14:textFill>
            <w14:solidFill>
              <w14:schemeClr w14:val="tx1"/>
            </w14:solidFill>
          </w14:textFill>
        </w:rPr>
        <w:t>窒息的隐患。</w:t>
      </w:r>
    </w:p>
    <w:p w14:paraId="2671334C">
      <w:pPr>
        <w:autoSpaceDE w:val="0"/>
        <w:autoSpaceDN w:val="0"/>
        <w:adjustRightInd w:val="0"/>
        <w:snapToGrid w:val="0"/>
        <w:spacing w:line="500" w:lineRule="exact"/>
        <w:ind w:firstLine="551" w:firstLineChars="196"/>
        <w:jc w:val="left"/>
        <w:textAlignment w:val="cente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4</w:t>
      </w:r>
      <w:r>
        <w:rPr>
          <w:rFonts w:hint="eastAsia" w:ascii="Times New Roman" w:cs="Times New Roman"/>
          <w:b/>
          <w:color w:val="000000" w:themeColor="text1"/>
          <w:sz w:val="28"/>
          <w:szCs w:val="28"/>
          <w:lang w:val="en-US" w:eastAsia="zh-CN"/>
          <w14:textFill>
            <w14:solidFill>
              <w14:schemeClr w14:val="tx1"/>
            </w14:solidFill>
          </w14:textFill>
        </w:rPr>
        <w:t>.</w:t>
      </w:r>
      <w:r>
        <w:rPr>
          <w:rFonts w:hint="default" w:ascii="Times New Roman" w:hAnsi="Times New Roman" w:cs="Times New Roman"/>
          <w:b/>
          <w:color w:val="000000" w:themeColor="text1"/>
          <w:sz w:val="28"/>
          <w:szCs w:val="28"/>
          <w14:textFill>
            <w14:solidFill>
              <w14:schemeClr w14:val="tx1"/>
            </w14:solidFill>
          </w14:textFill>
        </w:rPr>
        <w:t>坍塌</w:t>
      </w:r>
    </w:p>
    <w:p w14:paraId="2F4AF6C8">
      <w:pPr>
        <w:snapToGrid w:val="0"/>
        <w:spacing w:line="500" w:lineRule="exact"/>
        <w:ind w:firstLine="560"/>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烘烤、烧砖的隧道窑不及时检查，窑内拱顶变形破损处不及时加固维修，极有可能发生窑顶坍塌伤人事故。烘干道距离长，由于结构失稳，上方承重过大等原因可能坍塌，影响生产。</w:t>
      </w:r>
    </w:p>
    <w:p w14:paraId="1F45762B">
      <w:pPr>
        <w:snapToGrid w:val="0"/>
        <w:spacing w:line="500" w:lineRule="exact"/>
        <w:ind w:firstLine="560"/>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人员如果进入窑内维修也能造成掩埋事故。砖坯及成品或物料的堆码不规范也可能造成倒塌事故。</w:t>
      </w:r>
    </w:p>
    <w:p w14:paraId="4D3E584E">
      <w:pPr>
        <w:autoSpaceDE w:val="0"/>
        <w:autoSpaceDN w:val="0"/>
        <w:adjustRightInd w:val="0"/>
        <w:snapToGrid w:val="0"/>
        <w:spacing w:line="500" w:lineRule="exact"/>
        <w:ind w:firstLine="551" w:firstLineChars="196"/>
        <w:jc w:val="left"/>
        <w:textAlignment w:val="cente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5</w:t>
      </w:r>
      <w:r>
        <w:rPr>
          <w:rFonts w:hint="eastAsia" w:ascii="Times New Roman" w:cs="Times New Roman"/>
          <w:b/>
          <w:color w:val="000000" w:themeColor="text1"/>
          <w:sz w:val="28"/>
          <w:szCs w:val="28"/>
          <w:lang w:val="en-US" w:eastAsia="zh-CN"/>
          <w14:textFill>
            <w14:solidFill>
              <w14:schemeClr w14:val="tx1"/>
            </w14:solidFill>
          </w14:textFill>
        </w:rPr>
        <w:t>.</w:t>
      </w:r>
      <w:r>
        <w:rPr>
          <w:rFonts w:hint="default" w:ascii="Times New Roman" w:hAnsi="Times New Roman" w:cs="Times New Roman"/>
          <w:b/>
          <w:color w:val="000000" w:themeColor="text1"/>
          <w:sz w:val="28"/>
          <w:szCs w:val="28"/>
          <w14:textFill>
            <w14:solidFill>
              <w14:schemeClr w14:val="tx1"/>
            </w14:solidFill>
          </w14:textFill>
        </w:rPr>
        <w:t>灼烫</w:t>
      </w:r>
    </w:p>
    <w:p w14:paraId="7D374583">
      <w:pPr>
        <w:snapToGrid w:val="0"/>
        <w:spacing w:line="500" w:lineRule="exact"/>
        <w:ind w:firstLine="560"/>
        <w:rPr>
          <w:rFonts w:hint="default" w:ascii="Times New Roman" w:hAnsi="Times New Roman" w:cs="Times New Roman"/>
          <w:color w:val="000000" w:themeColor="text1"/>
          <w:sz w:val="28"/>
          <w:szCs w:val="28"/>
          <w:lang w:val="zh-CN"/>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在砖焙烧过程中，工人进行加煤焙烧、成品砖出窑时温度较高，如窑体保温密封不良会产生较强的热辐射，作业人员在此环境中易受到高温危害。特别是出窑时，如果停烧间隔时间不长，砖块温度过高，有可能造成人员灼烫伤害。</w:t>
      </w:r>
    </w:p>
    <w:p w14:paraId="64E7F1F9">
      <w:pPr>
        <w:autoSpaceDE w:val="0"/>
        <w:autoSpaceDN w:val="0"/>
        <w:adjustRightInd w:val="0"/>
        <w:snapToGrid w:val="0"/>
        <w:spacing w:line="500" w:lineRule="exact"/>
        <w:ind w:firstLine="551" w:firstLineChars="196"/>
        <w:jc w:val="left"/>
        <w:textAlignment w:val="cente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6</w:t>
      </w:r>
      <w:r>
        <w:rPr>
          <w:rFonts w:hint="eastAsia" w:ascii="Times New Roman" w:cs="Times New Roman"/>
          <w:b/>
          <w:color w:val="000000" w:themeColor="text1"/>
          <w:sz w:val="28"/>
          <w:szCs w:val="28"/>
          <w:lang w:val="en-US" w:eastAsia="zh-CN"/>
          <w14:textFill>
            <w14:solidFill>
              <w14:schemeClr w14:val="tx1"/>
            </w14:solidFill>
          </w14:textFill>
        </w:rPr>
        <w:t>.</w:t>
      </w:r>
      <w:r>
        <w:rPr>
          <w:rFonts w:hint="default" w:ascii="Times New Roman" w:hAnsi="Times New Roman" w:cs="Times New Roman"/>
          <w:b/>
          <w:color w:val="000000" w:themeColor="text1"/>
          <w:sz w:val="28"/>
          <w:szCs w:val="28"/>
          <w14:textFill>
            <w14:solidFill>
              <w14:schemeClr w14:val="tx1"/>
            </w14:solidFill>
          </w14:textFill>
        </w:rPr>
        <w:t>粉尘危害</w:t>
      </w:r>
    </w:p>
    <w:p w14:paraId="6F543BBB">
      <w:pPr>
        <w:adjustRightInd w:val="0"/>
        <w:snapToGrid w:val="0"/>
        <w:spacing w:line="500" w:lineRule="exact"/>
        <w:ind w:firstLine="560"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z w:val="28"/>
          <w:szCs w:val="28"/>
          <w:lang w:val="zh-CN"/>
          <w14:textFill>
            <w14:solidFill>
              <w14:schemeClr w14:val="tx1"/>
            </w14:solidFill>
          </w14:textFill>
        </w:rPr>
        <w:t>焙烧过程，该过程中会产生一定的扬尘，该过程中的扬尘对操作人员健康有一定危害，若未正确使用个人防护用品等，会对从业人员健康造成一定的职业危害</w:t>
      </w:r>
      <w:r>
        <w:rPr>
          <w:rFonts w:hint="default" w:ascii="Times New Roman" w:hAnsi="Times New Roman" w:cs="Times New Roman"/>
          <w:color w:val="000000" w:themeColor="text1"/>
          <w:spacing w:val="8"/>
          <w:sz w:val="28"/>
          <w:szCs w:val="28"/>
          <w14:textFill>
            <w14:solidFill>
              <w14:schemeClr w14:val="tx1"/>
            </w14:solidFill>
          </w14:textFill>
        </w:rPr>
        <w:t>。</w:t>
      </w:r>
    </w:p>
    <w:p w14:paraId="431BB7C4">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396" w:name="_Toc8862"/>
      <w:bookmarkStart w:id="397" w:name="_Toc20992"/>
      <w:r>
        <w:rPr>
          <w:rFonts w:hint="default" w:ascii="Times New Roman" w:hAnsi="Times New Roman" w:cs="Times New Roman"/>
          <w:color w:val="000000" w:themeColor="text1"/>
          <w:lang w:val="en-US" w:eastAsia="zh-CN"/>
          <w14:textFill>
            <w14:solidFill>
              <w14:schemeClr w14:val="tx1"/>
            </w14:solidFill>
          </w14:textFill>
        </w:rPr>
        <w:t>3.5.4公用工程和辅助设施的危险、有害因素辨识</w:t>
      </w:r>
      <w:bookmarkEnd w:id="396"/>
      <w:bookmarkEnd w:id="397"/>
    </w:p>
    <w:p w14:paraId="4CF33747">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kern w:val="0"/>
          <w14:textFill>
            <w14:solidFill>
              <w14:schemeClr w14:val="tx1"/>
            </w14:solidFill>
          </w14:textFill>
        </w:rPr>
        <w:t>3.5.4.1供配电系统危险性分析</w:t>
      </w:r>
    </w:p>
    <w:p w14:paraId="7ECDA404">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该项目电气设备主要包括：变压器、电力线路、配电柜、照明灯具、用电设备等。这些电气设备主要存在：触电及电气火灾等危险。</w:t>
      </w:r>
    </w:p>
    <w:p w14:paraId="47CA3422">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r>
        <w:rPr>
          <w:rFonts w:hint="eastAsia" w:asci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变压器危险、有害因素分析</w:t>
      </w:r>
    </w:p>
    <w:p w14:paraId="50934934">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变压器是利用电磁感应原理，把交流电能转变为不同电压、电流等参数的另一种电能的设备，发事故的原因主要有：</w:t>
      </w:r>
    </w:p>
    <w:p w14:paraId="3D701FC2">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（1）变压器长期过载，会引起线圈发热，使绝缘逐渐老化，造成匝间短路、相间短路或对地短路，引起变压器燃烧爆炸。</w:t>
      </w:r>
    </w:p>
    <w:p w14:paraId="53230619">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（2）变压器绝缘油在储存、运输或运行维护中不慎使水分、杂质或其他油污等混入油中后，会使绝缘强度大幅度降低。当其绝缘强度降低到一定值时在试验过程中就会发生短路。</w:t>
      </w:r>
    </w:p>
    <w:p w14:paraId="4A4A0350">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（3）硅钢片之间绝缘老化，或者夹紧铁芯的螺栓套管损坏，使铁芯产生很大的涡流，引起发热而使温度升高，也将加速绝缘的老化。</w:t>
      </w:r>
    </w:p>
    <w:p w14:paraId="393E82C8">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（4）在吊芯检修时，常常由于不慎将线圈的绝缘和瓷套管损坏瓷套管损坏后，如继续运行，轻则闪络，重则短路。</w:t>
      </w:r>
    </w:p>
    <w:p w14:paraId="5375A574">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线圈内部的接头、线圈之间的连接点和引至高、低压瓷套管的接点及分接开关上各接点，如接触不良会产生局部过热，破坏线圈绝缘，发生短路或断路。此时所产生高温的电弧，同样会使绝缘油迅速分解，产生大量气体，使压力骤增，破坏力极大，后果也十分严重。</w:t>
      </w:r>
    </w:p>
    <w:p w14:paraId="40F60202">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（6）导线接触不良的原因有：螺栓松动、焊接不牢、分接开关接点损坏等。</w:t>
      </w:r>
    </w:p>
    <w:p w14:paraId="7F9AB16C">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（7）当变压器负载发生短路时，变压器将承受相当大的短路电流如保护系统失灵或整定值过大，就有可能烧毁变压器。</w:t>
      </w:r>
    </w:p>
    <w:p w14:paraId="0CC1516D">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（8）变压器未采取隔离、防护措施，致使工作人员意外接触带电体。</w:t>
      </w:r>
    </w:p>
    <w:p w14:paraId="0AB8EE86">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（9）不严格执行工作票制度，如违章作业，操作失误，未穿戴绝缘的劳动服等。</w:t>
      </w:r>
    </w:p>
    <w:p w14:paraId="5C4E51CE">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（10）作业人员未取得电工资质证，缺乏用电常识。</w:t>
      </w:r>
    </w:p>
    <w:p w14:paraId="4929314A">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（11）作业人员缺乏自我保护意识等。</w:t>
      </w:r>
    </w:p>
    <w:p w14:paraId="6FC94365">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（12）其他可能导致事故的原因。</w:t>
      </w:r>
    </w:p>
    <w:p w14:paraId="018FCD6E">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w:t>
      </w:r>
      <w:r>
        <w:rPr>
          <w:rFonts w:hint="eastAsia" w:asci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电气线路危险、有害因素分析</w:t>
      </w:r>
    </w:p>
    <w:p w14:paraId="1FB46981">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电气线路是电力系统的重要组成部分，一般为架空线路、电缆线路，其主要存在火灾和触电危险。引发事故的原因主要有：</w:t>
      </w:r>
    </w:p>
    <w:p w14:paraId="39FF4754">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（1）厂外进线的电杆倒折、电线断落或搭在易燃物上，易造成架空线路短路，出现电火花、电弧。</w:t>
      </w:r>
    </w:p>
    <w:p w14:paraId="15F974F8">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（2）电杆杆距过大，线间距过小或布线过松，没有拉紧，在大风和外力作用下，容易碰在一起造成短路，或者布线时把导线拉得过紧也易发生导线断裂事故，引起火灾或触电事故。</w:t>
      </w:r>
    </w:p>
    <w:p w14:paraId="60EB2BE4">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（3）架空线路遭到雷击，使线路绝缘损坏，并产生下频短路电弧从而使线路跳闸，影响正常供电。</w:t>
      </w:r>
    </w:p>
    <w:p w14:paraId="3EBA5294">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（4）电缆本身在制造时有缺陷，在敷设时保护铅皮损坏或在运行中电缆绝缘受到机械损伤，引起电缆之间或铅皮之间的绝缘击穿而发生电弧。电弧高温能引燃电缆内的绝缘材料和电缆外层的麻布等。</w:t>
      </w:r>
    </w:p>
    <w:p w14:paraId="3191F2F7">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（5）埋地电缆长期受水、酸碱性土壤腐蚀使保护层破坏，绝缘强度降低，引起电缆短路起火。</w:t>
      </w:r>
    </w:p>
    <w:p w14:paraId="2359F123">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（6）长时间运行中，由于过负荷、过热等原因使电缆绝缘加速老化、干枯，绝缘强度降低，引起电缆相间或对地击穿短路起火。</w:t>
      </w:r>
    </w:p>
    <w:p w14:paraId="25F08018">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（7）电缆外护套破损或密封不良，使电缆发生水渗浸受潮，导致绝缘击穿短路。</w:t>
      </w:r>
    </w:p>
    <w:p w14:paraId="360636D0">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（8）过电压使电缆绝缘击穿发生短路起火。</w:t>
      </w:r>
    </w:p>
    <w:p w14:paraId="77D4008A">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（9）安装时电缆的曲率半径过小，致使绝缘折断受损发生短路。</w:t>
      </w:r>
    </w:p>
    <w:p w14:paraId="574128CE">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（10）电缆终端接头和中间接头接触不良发生短路事故，引起电缆着火。</w:t>
      </w:r>
    </w:p>
    <w:p w14:paraId="2825C78E">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（11）开关设备及其他电气设备短路或接触电阻过大产生高温起火将附近电缆引燃、安装施工和检修时高温焊渣等掉到电缆上引起着火或其他可燃、易燃物品着火后将附近电缆引燃。</w:t>
      </w:r>
    </w:p>
    <w:p w14:paraId="316A1EC5">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（12）电缆绝缘材料腐蚀受损或机械受损等脱落后，人员赤身接触导电线。</w:t>
      </w:r>
    </w:p>
    <w:p w14:paraId="6FDD3D1A">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（13）作业人员缺乏自我保护意识等。</w:t>
      </w:r>
    </w:p>
    <w:p w14:paraId="6DE49E10">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 其他可能导致事故的原因。</w:t>
      </w:r>
    </w:p>
    <w:p w14:paraId="150C0F93">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w:t>
      </w:r>
      <w:r>
        <w:rPr>
          <w:rFonts w:hint="eastAsia" w:asci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其他电气设备危险、有害因素分析</w:t>
      </w:r>
    </w:p>
    <w:p w14:paraId="52F52C11">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该项目其他电气设备包括配电箱(柜)、照明系统等，主要存在火灾和触电危险。引发事故的原因主要有：</w:t>
      </w:r>
    </w:p>
    <w:p w14:paraId="078EB86C">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 电气设备及线路的日常管理、维护不当，电气设备、线路老化、绝缘破损、漏电且无接地接零保护。</w:t>
      </w:r>
    </w:p>
    <w:p w14:paraId="1326EBFC">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（2）作业人员缺乏用电常识。</w:t>
      </w:r>
    </w:p>
    <w:p w14:paraId="2A0C41C1">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（3）条件不允许而带电作业或施工中误合电闸送电</w:t>
      </w:r>
    </w:p>
    <w:p w14:paraId="78FCE4A6">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（4）无漏电保护器或漏电保护器失效。</w:t>
      </w:r>
    </w:p>
    <w:p w14:paraId="4B63CA34">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（5）超标使用保险丝、空气开关等。</w:t>
      </w:r>
    </w:p>
    <w:p w14:paraId="2863306D">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（6）断路器失效、设备无接地接零或失效</w:t>
      </w:r>
    </w:p>
    <w:p w14:paraId="3A832093">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（7）电器开关损坏、漏电。</w:t>
      </w:r>
    </w:p>
    <w:p w14:paraId="1F12E918">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（8）不严格执行工作票制度，违章作业，操作失误等。</w:t>
      </w:r>
    </w:p>
    <w:p w14:paraId="7F42B6E7">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（9）其他可能导致事故的原因。</w:t>
      </w:r>
    </w:p>
    <w:p w14:paraId="16FE5AAB">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kern w:val="0"/>
          <w14:textFill>
            <w14:solidFill>
              <w14:schemeClr w14:val="tx1"/>
            </w14:solidFill>
          </w14:textFill>
        </w:rPr>
        <w:t>3.</w:t>
      </w:r>
      <w:r>
        <w:rPr>
          <w:rFonts w:hint="eastAsia" w:ascii="Times New Roman" w:hAnsi="Times New Roman" w:eastAsia="宋体" w:cs="Times New Roman"/>
          <w:color w:val="000000" w:themeColor="text1"/>
          <w:kern w:val="0"/>
          <w:lang w:val="en-US" w:eastAsia="zh-CN"/>
          <w14:textFill>
            <w14:solidFill>
              <w14:schemeClr w14:val="tx1"/>
            </w14:solidFill>
          </w14:textFill>
        </w:rPr>
        <w:t>5</w:t>
      </w:r>
      <w:r>
        <w:rPr>
          <w:rFonts w:hint="default" w:ascii="Times New Roman" w:hAnsi="Times New Roman" w:eastAsia="宋体" w:cs="Times New Roman"/>
          <w:color w:val="000000" w:themeColor="text1"/>
          <w:kern w:val="0"/>
          <w14:textFill>
            <w14:solidFill>
              <w14:schemeClr w14:val="tx1"/>
            </w14:solidFill>
          </w14:textFill>
        </w:rPr>
        <w:t>.</w:t>
      </w:r>
      <w:r>
        <w:rPr>
          <w:rFonts w:hint="eastAsia" w:ascii="Times New Roman" w:hAnsi="Times New Roman" w:eastAsia="宋体" w:cs="Times New Roman"/>
          <w:color w:val="000000" w:themeColor="text1"/>
          <w:kern w:val="0"/>
          <w:lang w:val="en-US" w:eastAsia="zh-CN"/>
          <w14:textFill>
            <w14:solidFill>
              <w14:schemeClr w14:val="tx1"/>
            </w14:solidFill>
          </w14:textFill>
        </w:rPr>
        <w:t>4</w:t>
      </w:r>
      <w:r>
        <w:rPr>
          <w:rFonts w:hint="default" w:ascii="Times New Roman" w:hAnsi="Times New Roman" w:eastAsia="宋体" w:cs="Times New Roman"/>
          <w:color w:val="000000" w:themeColor="text1"/>
          <w:kern w:val="0"/>
          <w14:textFill>
            <w14:solidFill>
              <w14:schemeClr w14:val="tx1"/>
            </w14:solidFill>
          </w14:textFill>
        </w:rPr>
        <w:t>.2给排水危险、有害因素分析</w:t>
      </w:r>
    </w:p>
    <w:p w14:paraId="3D8FA6F1">
      <w:pPr>
        <w:pStyle w:val="216"/>
        <w:adjustRightInd w:val="0"/>
        <w:snapToGrid w:val="0"/>
        <w:ind w:firstLine="562"/>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1</w:t>
      </w:r>
      <w:r>
        <w:rPr>
          <w:rFonts w:hint="eastAsia" w:ascii="Times New Roman" w:cs="Times New Roman"/>
          <w:b/>
          <w:bCs/>
          <w:color w:val="000000" w:themeColor="text1"/>
          <w:lang w:val="en-US" w:eastAsia="zh-CN"/>
          <w14:textFill>
            <w14:solidFill>
              <w14:schemeClr w14:val="tx1"/>
            </w14:solidFill>
          </w14:textFill>
        </w:rPr>
        <w:t>.</w:t>
      </w:r>
      <w:r>
        <w:rPr>
          <w:rFonts w:hint="default" w:ascii="Times New Roman" w:hAnsi="Times New Roman" w:cs="Times New Roman"/>
          <w:b/>
          <w:bCs/>
          <w:color w:val="000000" w:themeColor="text1"/>
          <w14:textFill>
            <w14:solidFill>
              <w14:schemeClr w14:val="tx1"/>
            </w14:solidFill>
          </w14:textFill>
        </w:rPr>
        <w:t>淹溺危险性分析</w:t>
      </w:r>
    </w:p>
    <w:p w14:paraId="1E7484A1">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本项目在脱硫塔设置脱硫水池、生产</w:t>
      </w:r>
      <w:r>
        <w:rPr>
          <w:rFonts w:hint="eastAsia" w:ascii="Times New Roman" w:cs="Times New Roman"/>
          <w:color w:val="000000" w:themeColor="text1"/>
          <w:lang w:val="en-US" w:eastAsia="zh-CN"/>
          <w14:textFill>
            <w14:solidFill>
              <w14:schemeClr w14:val="tx1"/>
            </w14:solidFill>
          </w14:textFill>
        </w:rPr>
        <w:t>污水处理池</w:t>
      </w:r>
      <w:r>
        <w:rPr>
          <w:rFonts w:hint="default" w:ascii="Times New Roman" w:hAnsi="Times New Roman" w:cs="Times New Roman"/>
          <w:color w:val="000000" w:themeColor="text1"/>
          <w14:textFill>
            <w14:solidFill>
              <w14:schemeClr w14:val="tx1"/>
            </w14:solidFill>
          </w14:textFill>
        </w:rPr>
        <w:t>，若防护装置设置不足或不符合要求、失效等，则存在人员坠落淹溺的危险。</w:t>
      </w:r>
    </w:p>
    <w:p w14:paraId="2CC689C3">
      <w:pPr>
        <w:pStyle w:val="216"/>
        <w:adjustRightInd w:val="0"/>
        <w:snapToGrid w:val="0"/>
        <w:ind w:firstLine="562"/>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2</w:t>
      </w:r>
      <w:r>
        <w:rPr>
          <w:rFonts w:hint="eastAsia" w:ascii="Times New Roman" w:cs="Times New Roman"/>
          <w:b/>
          <w:bCs/>
          <w:color w:val="000000" w:themeColor="text1"/>
          <w:lang w:val="en-US" w:eastAsia="zh-CN"/>
          <w14:textFill>
            <w14:solidFill>
              <w14:schemeClr w14:val="tx1"/>
            </w14:solidFill>
          </w14:textFill>
        </w:rPr>
        <w:t>.</w:t>
      </w:r>
      <w:r>
        <w:rPr>
          <w:rFonts w:hint="default" w:ascii="Times New Roman" w:hAnsi="Times New Roman" w:cs="Times New Roman"/>
          <w:b/>
          <w:bCs/>
          <w:color w:val="000000" w:themeColor="text1"/>
          <w14:textFill>
            <w14:solidFill>
              <w14:schemeClr w14:val="tx1"/>
            </w14:solidFill>
          </w14:textFill>
        </w:rPr>
        <w:t>触电危险性分析</w:t>
      </w:r>
    </w:p>
    <w:p w14:paraId="6F4B7877">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控制柜、动力装置及其他机电设备受潮，导致绝缘性下降，未按要求穿戴劳动防护用品和违章作业，易发生触电事故。</w:t>
      </w:r>
    </w:p>
    <w:p w14:paraId="7888A1A3">
      <w:pPr>
        <w:pStyle w:val="216"/>
        <w:adjustRightInd w:val="0"/>
        <w:snapToGrid w:val="0"/>
        <w:ind w:firstLine="562"/>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3</w:t>
      </w:r>
      <w:r>
        <w:rPr>
          <w:rFonts w:hint="eastAsia" w:ascii="Times New Roman" w:cs="Times New Roman"/>
          <w:b/>
          <w:bCs/>
          <w:color w:val="000000" w:themeColor="text1"/>
          <w:lang w:val="en-US" w:eastAsia="zh-CN"/>
          <w14:textFill>
            <w14:solidFill>
              <w14:schemeClr w14:val="tx1"/>
            </w14:solidFill>
          </w14:textFill>
        </w:rPr>
        <w:t>.</w:t>
      </w:r>
      <w:r>
        <w:rPr>
          <w:rFonts w:hint="default" w:ascii="Times New Roman" w:hAnsi="Times New Roman" w:cs="Times New Roman"/>
          <w:b/>
          <w:bCs/>
          <w:color w:val="000000" w:themeColor="text1"/>
          <w14:textFill>
            <w14:solidFill>
              <w14:schemeClr w14:val="tx1"/>
            </w14:solidFill>
          </w14:textFill>
        </w:rPr>
        <w:t>机械伤害危险性分析</w:t>
      </w:r>
    </w:p>
    <w:p w14:paraId="3E2A7054">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水泵在使用过程中，可能因防护罩强度不足、缺失、违章操作等原因导致机械伤害事故的发生。</w:t>
      </w:r>
    </w:p>
    <w:p w14:paraId="3A2F9EE7">
      <w:pPr>
        <w:pStyle w:val="216"/>
        <w:adjustRightInd w:val="0"/>
        <w:snapToGrid w:val="0"/>
        <w:ind w:firstLine="562"/>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4</w:t>
      </w:r>
      <w:r>
        <w:rPr>
          <w:rFonts w:hint="eastAsia" w:ascii="Times New Roman" w:cs="Times New Roman"/>
          <w:b/>
          <w:bCs/>
          <w:color w:val="000000" w:themeColor="text1"/>
          <w:lang w:val="en-US" w:eastAsia="zh-CN"/>
          <w14:textFill>
            <w14:solidFill>
              <w14:schemeClr w14:val="tx1"/>
            </w14:solidFill>
          </w14:textFill>
        </w:rPr>
        <w:t>.</w:t>
      </w:r>
      <w:r>
        <w:rPr>
          <w:rFonts w:hint="default" w:ascii="Times New Roman" w:hAnsi="Times New Roman" w:cs="Times New Roman"/>
          <w:b/>
          <w:bCs/>
          <w:color w:val="000000" w:themeColor="text1"/>
          <w14:textFill>
            <w14:solidFill>
              <w14:schemeClr w14:val="tx1"/>
            </w14:solidFill>
          </w14:textFill>
        </w:rPr>
        <w:t>其他危险性分析</w:t>
      </w:r>
    </w:p>
    <w:p w14:paraId="6A7B8EF2">
      <w:pPr>
        <w:pStyle w:val="216"/>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除了以上列举的危险、有害因素外，该项目中还存在场地湿滑造成人员不慎摔伤以及泵运行时产生噪声等危害，进入地下水池作业等有限空间作业可能发生中毒室息事故。</w:t>
      </w:r>
    </w:p>
    <w:p w14:paraId="7A8E3763">
      <w:pPr>
        <w:pStyle w:val="216"/>
        <w:adjustRightInd w:val="0"/>
        <w:snapToGrid w:val="0"/>
        <w:ind w:firstLine="562"/>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5</w:t>
      </w:r>
      <w:r>
        <w:rPr>
          <w:rFonts w:hint="eastAsia" w:ascii="Times New Roman" w:cs="Times New Roman"/>
          <w:b/>
          <w:bCs/>
          <w:color w:val="000000" w:themeColor="text1"/>
          <w:lang w:val="en-US" w:eastAsia="zh-CN"/>
          <w14:textFill>
            <w14:solidFill>
              <w14:schemeClr w14:val="tx1"/>
            </w14:solidFill>
          </w14:textFill>
        </w:rPr>
        <w:t>.</w:t>
      </w:r>
      <w:r>
        <w:rPr>
          <w:rFonts w:hint="default" w:ascii="Times New Roman" w:hAnsi="Times New Roman" w:cs="Times New Roman"/>
          <w:b/>
          <w:bCs/>
          <w:color w:val="000000" w:themeColor="text1"/>
          <w14:textFill>
            <w14:solidFill>
              <w14:schemeClr w14:val="tx1"/>
            </w14:solidFill>
          </w14:textFill>
        </w:rPr>
        <w:t>有限间作业险性分析</w:t>
      </w:r>
    </w:p>
    <w:p w14:paraId="3CE30DAC">
      <w:pPr>
        <w:adjustRightInd w:val="0"/>
        <w:snapToGrid w:val="0"/>
        <w:spacing w:line="500" w:lineRule="exact"/>
        <w:ind w:firstLine="560"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脱硫塔设置脱硫水池、</w:t>
      </w:r>
      <w:r>
        <w:rPr>
          <w:rFonts w:hint="eastAsia" w:ascii="Times New Roman" w:cs="Times New Roman"/>
          <w:color w:val="000000" w:themeColor="text1"/>
          <w:sz w:val="28"/>
          <w:szCs w:val="28"/>
          <w:lang w:val="en-US" w:eastAsia="zh-CN"/>
          <w14:textFill>
            <w14:solidFill>
              <w14:schemeClr w14:val="tx1"/>
            </w14:solidFill>
          </w14:textFill>
        </w:rPr>
        <w:t>污水处理</w:t>
      </w:r>
      <w:r>
        <w:rPr>
          <w:rFonts w:hint="default" w:ascii="Times New Roman" w:hAnsi="Times New Roman" w:cs="Times New Roman"/>
          <w:color w:val="000000" w:themeColor="text1"/>
          <w:sz w:val="28"/>
          <w:szCs w:val="28"/>
          <w14:textFill>
            <w14:solidFill>
              <w14:schemeClr w14:val="tx1"/>
            </w14:solidFill>
          </w14:textFill>
        </w:rPr>
        <w:t>池</w:t>
      </w:r>
      <w:r>
        <w:rPr>
          <w:rFonts w:hint="eastAsia" w:ascii="Times New Roman" w:cs="Times New Roman"/>
          <w:color w:val="000000" w:themeColor="text1"/>
          <w:sz w:val="28"/>
          <w:szCs w:val="28"/>
          <w:lang w:eastAsia="zh-CN"/>
          <w14:textFill>
            <w14:solidFill>
              <w14:schemeClr w14:val="tx1"/>
            </w14:solidFill>
          </w14:textFill>
        </w:rPr>
        <w:t>、</w:t>
      </w:r>
      <w:r>
        <w:rPr>
          <w:rFonts w:hint="eastAsia" w:ascii="Times New Roman" w:cs="Times New Roman"/>
          <w:color w:val="000000" w:themeColor="text1"/>
          <w:sz w:val="28"/>
          <w:szCs w:val="28"/>
          <w:lang w:val="en-US" w:eastAsia="zh-CN"/>
          <w14:textFill>
            <w14:solidFill>
              <w14:schemeClr w14:val="tx1"/>
            </w14:solidFill>
          </w14:textFill>
        </w:rPr>
        <w:t>隧道窑、化粪池</w:t>
      </w:r>
      <w:r>
        <w:rPr>
          <w:rFonts w:hint="default" w:ascii="Times New Roman" w:hAnsi="Times New Roman" w:cs="Times New Roman"/>
          <w:color w:val="000000" w:themeColor="text1"/>
          <w:sz w:val="28"/>
          <w:szCs w:val="28"/>
          <w14:textFill>
            <w14:solidFill>
              <w14:schemeClr w14:val="tx1"/>
            </w14:solidFill>
          </w14:textFill>
        </w:rPr>
        <w:t>等场所属于有限空间，若进入这些作业场所作业前未执行作业审批制度，未进行教育培训和安全技术交底，未指定安全监护人员，未制定应急措施和配备现场应急装备及个人防中毒窒息等防护装备，未遵循“先通风、再检测、后作业”的原则，未设置安全警示标识和无防护监护措施作业等，易发生中毒室息事故。若窑体年久失修，结构稳定性变弱，有发生掉砖、窑体坍塌的可能，塌窑会造成入内作业人员的坍塌事故风险。</w:t>
      </w:r>
      <w:r>
        <w:rPr>
          <w:rFonts w:hint="default" w:ascii="Times New Roman" w:hAnsi="Times New Roman" w:cs="Times New Roman"/>
          <w:color w:val="000000" w:themeColor="text1"/>
          <w:spacing w:val="8"/>
          <w:sz w:val="28"/>
          <w:szCs w:val="28"/>
          <w14:textFill>
            <w14:solidFill>
              <w14:schemeClr w14:val="tx1"/>
            </w14:solidFill>
          </w14:textFill>
        </w:rPr>
        <w:t>。</w:t>
      </w:r>
    </w:p>
    <w:p w14:paraId="46594014">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398" w:name="_Toc24916"/>
      <w:bookmarkStart w:id="399" w:name="_Toc24874"/>
      <w:r>
        <w:rPr>
          <w:rFonts w:hint="default" w:ascii="Times New Roman" w:hAnsi="Times New Roman" w:eastAsia="楷体" w:cs="Times New Roman"/>
          <w:color w:val="000000" w:themeColor="text1"/>
          <w14:textFill>
            <w14:solidFill>
              <w14:schemeClr w14:val="tx1"/>
            </w14:solidFill>
          </w14:textFill>
        </w:rPr>
        <w:t>3.6主要危险、有害因素类别分析</w:t>
      </w:r>
      <w:bookmarkEnd w:id="398"/>
      <w:bookmarkEnd w:id="399"/>
    </w:p>
    <w:p w14:paraId="35FB60B2">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00" w:name="_Toc27630"/>
      <w:bookmarkStart w:id="401" w:name="_Toc10424"/>
      <w:bookmarkStart w:id="402" w:name="_Toc8961"/>
      <w:bookmarkStart w:id="403" w:name="_Toc400308681"/>
      <w:r>
        <w:rPr>
          <w:rFonts w:hint="default" w:ascii="Times New Roman" w:hAnsi="Times New Roman" w:cs="Times New Roman"/>
          <w:color w:val="000000" w:themeColor="text1"/>
          <w:lang w:val="en-US" w:eastAsia="zh-CN"/>
          <w14:textFill>
            <w14:solidFill>
              <w14:schemeClr w14:val="tx1"/>
            </w14:solidFill>
          </w14:textFill>
        </w:rPr>
        <w:t>3.6.1火灾危险性分析</w:t>
      </w:r>
      <w:bookmarkEnd w:id="400"/>
      <w:bookmarkEnd w:id="401"/>
      <w:bookmarkEnd w:id="402"/>
    </w:p>
    <w:p w14:paraId="3A5540E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对生产工艺及涉及到的危险、有害物质分析可知，该项目发生火灾危险主要是电气火灾，与电气火灾相比，可燃燃物质引起火灾的可能性相对较低，主要是检修过程中使用</w:t>
      </w:r>
      <w:r>
        <w:rPr>
          <w:rFonts w:hint="eastAsia" w:ascii="Times New Roman" w:cs="Times New Roman"/>
          <w:color w:val="000000" w:themeColor="text1"/>
          <w:spacing w:val="8"/>
          <w:sz w:val="28"/>
          <w:szCs w:val="28"/>
          <w:lang w:val="en-US" w:eastAsia="zh-CN"/>
          <w14:textFill>
            <w14:solidFill>
              <w14:schemeClr w14:val="tx1"/>
            </w14:solidFill>
          </w14:textFill>
        </w:rPr>
        <w:t>乙炔</w:t>
      </w:r>
      <w:r>
        <w:rPr>
          <w:rFonts w:hint="default" w:ascii="Times New Roman" w:hAnsi="Times New Roman" w:cs="Times New Roman"/>
          <w:color w:val="000000" w:themeColor="text1"/>
          <w:spacing w:val="8"/>
          <w:sz w:val="28"/>
          <w:szCs w:val="28"/>
          <w14:textFill>
            <w14:solidFill>
              <w14:schemeClr w14:val="tx1"/>
            </w14:solidFill>
          </w14:textFill>
        </w:rPr>
        <w:t>等易燃物质引起的火灾事故。</w:t>
      </w:r>
    </w:p>
    <w:p w14:paraId="7B8EF97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电气火灾</w:t>
      </w:r>
    </w:p>
    <w:p w14:paraId="5D437F52">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一般电气火灾大多数皆因电气线路发生火灾造成，下面主要对造成电气线路发生短路的主要原因进行分析：</w:t>
      </w:r>
    </w:p>
    <w:p w14:paraId="10E6C61F">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电气线路中的导线由于各种原因造成相线与相线，相线与零线(地线)的连接，在回路中引起电流的瞬间骤然增大的现象叫短路。</w:t>
      </w:r>
    </w:p>
    <w:p w14:paraId="050164E7">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短路时由于电阻突然减小则电流将突然增大。因此，线路短路时在极短的时间内会发出很大的热量，这个热量不仅能使绝缘层燃烧而且能使金属熔化，引起邻近的易燃、可燃物质燃烧，从而造成火灾。</w:t>
      </w:r>
    </w:p>
    <w:p w14:paraId="6435F720">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发生短路的主要原因有：</w:t>
      </w:r>
    </w:p>
    <w:p w14:paraId="61FA7043">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（1）使用绝缘电线、电缆时，没有按具体环境选用，使绝缘受高温、潮湿或腐蚀等作用，失去了绝缘能力；</w:t>
      </w:r>
    </w:p>
    <w:p w14:paraId="40126A76">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（2）线路年久失修，绝缘层陈旧老化或受损，使线芯裸露；</w:t>
      </w:r>
    </w:p>
    <w:p w14:paraId="0F52F76C">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（3）电源过电压，使电线绝缘被击穿；</w:t>
      </w:r>
    </w:p>
    <w:p w14:paraId="32744D9C">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（4）安装、修理人员接错线路，或带电作业时造成人为碰线短路；</w:t>
      </w:r>
    </w:p>
    <w:p w14:paraId="1DC37BD5">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（5）裸电线安装位置不当，导电物体碰在电线上；线路上有金属物件或小动物跌落，发生电线之间的跨接；</w:t>
      </w:r>
    </w:p>
    <w:p w14:paraId="05EE0FA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（6）架空线路电线间距太小，档距过大，电线松弛，有可能发生两线相碰；架空电线与建筑物、树木距离太近，使电线与建筑物或树木接触；</w:t>
      </w:r>
    </w:p>
    <w:p w14:paraId="5B03348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（7）电线机械强度不够，导致电线断落接触大地，或断落在另一根电线上；</w:t>
      </w:r>
    </w:p>
    <w:p w14:paraId="79585457">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（8）临时用电管理不善，维护不当造成过载、短路；</w:t>
      </w:r>
    </w:p>
    <w:p w14:paraId="1E47E94F">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（9）高压架空线路的绝缘子耐压程度过低，引起线路的对地短路。</w:t>
      </w:r>
    </w:p>
    <w:p w14:paraId="4AAE4A22">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其它火灾事故</w:t>
      </w:r>
    </w:p>
    <w:p w14:paraId="31A46AD3">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（1）在使用</w:t>
      </w:r>
      <w:r>
        <w:rPr>
          <w:rFonts w:hint="eastAsia" w:ascii="Times New Roman" w:cs="Times New Roman"/>
          <w:color w:val="000000" w:themeColor="text1"/>
          <w:spacing w:val="8"/>
          <w:sz w:val="28"/>
          <w:szCs w:val="28"/>
          <w:lang w:val="en-US" w:eastAsia="zh-CN"/>
          <w14:textFill>
            <w14:solidFill>
              <w14:schemeClr w14:val="tx1"/>
            </w14:solidFill>
          </w14:textFill>
        </w:rPr>
        <w:t>乙炔</w:t>
      </w:r>
      <w:r>
        <w:rPr>
          <w:rFonts w:hint="default" w:ascii="Times New Roman" w:hAnsi="Times New Roman" w:cs="Times New Roman"/>
          <w:color w:val="000000" w:themeColor="text1"/>
          <w:spacing w:val="8"/>
          <w:sz w:val="28"/>
          <w:szCs w:val="28"/>
          <w14:textFill>
            <w14:solidFill>
              <w14:schemeClr w14:val="tx1"/>
            </w14:solidFill>
          </w14:textFill>
        </w:rPr>
        <w:t>进行气焊（割）作业时，由于</w:t>
      </w:r>
      <w:r>
        <w:rPr>
          <w:rFonts w:hint="eastAsia" w:ascii="Times New Roman" w:cs="Times New Roman"/>
          <w:color w:val="000000" w:themeColor="text1"/>
          <w:spacing w:val="8"/>
          <w:sz w:val="28"/>
          <w:szCs w:val="28"/>
          <w:lang w:val="en-US" w:eastAsia="zh-CN"/>
          <w14:textFill>
            <w14:solidFill>
              <w14:schemeClr w14:val="tx1"/>
            </w14:solidFill>
          </w14:textFill>
        </w:rPr>
        <w:t>乙炔</w:t>
      </w:r>
      <w:r>
        <w:rPr>
          <w:rFonts w:hint="default" w:ascii="Times New Roman" w:hAnsi="Times New Roman" w:cs="Times New Roman"/>
          <w:color w:val="000000" w:themeColor="text1"/>
          <w:spacing w:val="8"/>
          <w:sz w:val="28"/>
          <w:szCs w:val="28"/>
          <w14:textFill>
            <w14:solidFill>
              <w14:schemeClr w14:val="tx1"/>
            </w14:solidFill>
          </w14:textFill>
        </w:rPr>
        <w:t>是易燃气体，使用的氧气具有强烈的助燃性，如果控制不好，可能发生火灾事故；</w:t>
      </w:r>
    </w:p>
    <w:p w14:paraId="2FF355F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（2）电、气焊（割）作业过程中高温焊渣或熔融的金属火星飞溅到可燃物质上，会引起火灾；</w:t>
      </w:r>
    </w:p>
    <w:p w14:paraId="2E1E7AED">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5）操作人员和使用者违章作业，违反操作规程。</w:t>
      </w:r>
    </w:p>
    <w:p w14:paraId="714F0066">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装载机、</w:t>
      </w:r>
      <w:r>
        <w:rPr>
          <w:rFonts w:hint="eastAsia" w:ascii="Times New Roman" w:cs="Times New Roman"/>
          <w:color w:val="000000" w:themeColor="text1"/>
          <w:spacing w:val="8"/>
          <w:sz w:val="28"/>
          <w:szCs w:val="28"/>
          <w:lang w:val="en-US" w:eastAsia="zh-CN"/>
          <w14:textFill>
            <w14:solidFill>
              <w14:schemeClr w14:val="tx1"/>
            </w14:solidFill>
          </w14:textFill>
        </w:rPr>
        <w:t>叉车</w:t>
      </w:r>
      <w:r>
        <w:rPr>
          <w:rFonts w:hint="default" w:ascii="Times New Roman" w:hAnsi="Times New Roman" w:cs="Times New Roman"/>
          <w:color w:val="000000" w:themeColor="text1"/>
          <w:spacing w:val="8"/>
          <w:sz w:val="28"/>
          <w:szCs w:val="28"/>
          <w14:textFill>
            <w14:solidFill>
              <w14:schemeClr w14:val="tx1"/>
            </w14:solidFill>
          </w14:textFill>
        </w:rPr>
        <w:t>等设备使用的柴油，若发生泄露，遇到点火源，也可能发生火灾事故。</w:t>
      </w:r>
    </w:p>
    <w:p w14:paraId="00BAB1A5">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润滑油、液压油，这些油品遇火、静电火花高温熔体或其他起火原因，可导致火灾发生。</w:t>
      </w:r>
    </w:p>
    <w:p w14:paraId="3C26CA77">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04" w:name="_Toc12564"/>
      <w:bookmarkStart w:id="405" w:name="_Toc17724"/>
      <w:r>
        <w:rPr>
          <w:rFonts w:hint="default" w:ascii="Times New Roman" w:hAnsi="Times New Roman" w:cs="Times New Roman"/>
          <w:color w:val="000000" w:themeColor="text1"/>
          <w:lang w:val="en-US" w:eastAsia="zh-CN"/>
          <w14:textFill>
            <w14:solidFill>
              <w14:schemeClr w14:val="tx1"/>
            </w14:solidFill>
          </w14:textFill>
        </w:rPr>
        <w:t>3.6.2容器爆炸危险性分析</w:t>
      </w:r>
      <w:bookmarkEnd w:id="404"/>
      <w:bookmarkEnd w:id="405"/>
    </w:p>
    <w:p w14:paraId="7561EDED">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该项目可能发生容器爆炸的设备有空压机、储气罐、乙炔和氧气瓶，引发事故的原因主要有：</w:t>
      </w:r>
    </w:p>
    <w:p w14:paraId="475B97C6">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设计缺陷，如压力容器、设备材质不合理、耐压强度不足，抗震设防不足、安全附件不齐全或安全阀泄放能力不足等；</w:t>
      </w:r>
    </w:p>
    <w:p w14:paraId="631C288F">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制造缺陷，如制造单位不具备相应资质或质量不合格，特别是焊接质量差；</w:t>
      </w:r>
    </w:p>
    <w:p w14:paraId="2FB7B93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施工、安装缺陷，如施工、安装单位不具备相应资质，未严格按设计要求施工，施工质量差，未进行耐压试验等；</w:t>
      </w:r>
    </w:p>
    <w:p w14:paraId="30C5EC42">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压力容器、设备长期使用后未按规定检修期进行检修、质量检测，或检修质量差造成强度下降；</w:t>
      </w:r>
    </w:p>
    <w:p w14:paraId="0973C191">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超过年限使用压力容器、设备；</w:t>
      </w:r>
    </w:p>
    <w:p w14:paraId="1AC0FC3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6</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未定时排水，导致储罐超压，引起超压爆炸；</w:t>
      </w:r>
    </w:p>
    <w:p w14:paraId="054475B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7</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压力容器、设备因腐蚀而使壁厚减薄，继续运行而强度不足；</w:t>
      </w:r>
    </w:p>
    <w:p w14:paraId="04FADD90">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8</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设备上安装的安全附件不全或失效，引起爆炸事故；</w:t>
      </w:r>
    </w:p>
    <w:p w14:paraId="1D7017F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9</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周围建筑、设备、设施起火或自身附件起火，使压力容器设备储罐受热，导致储罐发生物理爆炸。</w:t>
      </w:r>
    </w:p>
    <w:p w14:paraId="0CA84AFD">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06" w:name="_Toc18099"/>
      <w:bookmarkStart w:id="407" w:name="_Toc18104"/>
      <w:bookmarkStart w:id="408" w:name="_Toc9776"/>
      <w:r>
        <w:rPr>
          <w:rFonts w:hint="default" w:ascii="Times New Roman" w:hAnsi="Times New Roman" w:cs="Times New Roman"/>
          <w:color w:val="000000" w:themeColor="text1"/>
          <w:lang w:val="en-US" w:eastAsia="zh-CN"/>
          <w14:textFill>
            <w14:solidFill>
              <w14:schemeClr w14:val="tx1"/>
            </w14:solidFill>
          </w14:textFill>
        </w:rPr>
        <w:t>3.6.3机械伤害危险性分析</w:t>
      </w:r>
      <w:bookmarkEnd w:id="406"/>
      <w:bookmarkEnd w:id="407"/>
      <w:bookmarkEnd w:id="408"/>
    </w:p>
    <w:p w14:paraId="621CA41A">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机械伤害指机械设备运动（静止）部件、工具直接与人体接触引起的夹击、碰撞、剪切、卷入、绞、碾、割、刺等伤害。当作业人员身体部位或衣物角或头发被卷入机械中，如无紧急停车装置或设备高速运转，人体很可能迅速被卷入设备，造成人员伤亡。</w:t>
      </w:r>
    </w:p>
    <w:p w14:paraId="03B52F42">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该项目在正常生产过程中，使用的机械设备。如果传动部位没有可靠的安全防护装置，或设备有缺陷，违章作业等，易发生作业人员被切、绞、轧、挤、压、撞击等事故。在事故及检修等特殊情况下，也存在机械伤害的可能性。可能因为机械设备零、部件做旋转运动、直线运动等造成机械伤害，可能发生机械伤害的原因分析如下：</w:t>
      </w:r>
    </w:p>
    <w:p w14:paraId="40D9F17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无防护：如无防护罩、安全保护装置、报警装置、安全警示标志、护栏等安全防护措施或防护措施失；</w:t>
      </w:r>
    </w:p>
    <w:p w14:paraId="14470236">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防护不当：如防护罩未在适当位置，防护装置调整不当，安全距离不够等；</w:t>
      </w:r>
    </w:p>
    <w:p w14:paraId="6C4197E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机械设备设施存在缺陷：如设计不合理，结构不符合安全要求，制动装置有缺陷，安全间距不够，设备上有锋利倒棱等；</w:t>
      </w:r>
    </w:p>
    <w:p w14:paraId="2DF937A4">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人员违章作业或操作失误造成机械伤害；</w:t>
      </w:r>
    </w:p>
    <w:p w14:paraId="29600D2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人员不按规定穿戴劳动保护用品；</w:t>
      </w:r>
    </w:p>
    <w:p w14:paraId="64FFC59C">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6</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机械强度不够：如联轴器连接螺栓强度不够等；</w:t>
      </w:r>
    </w:p>
    <w:p w14:paraId="76D9BE67">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7</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设备带“病”运转，超负荷运转等；</w:t>
      </w:r>
    </w:p>
    <w:p w14:paraId="5BC4D73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8</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在停车检修时，机器突然被误启动。</w:t>
      </w:r>
    </w:p>
    <w:p w14:paraId="5EF1D95A">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09" w:name="_Toc1676"/>
      <w:bookmarkStart w:id="410" w:name="_Toc27502"/>
      <w:bookmarkStart w:id="411" w:name="_Toc23244"/>
      <w:r>
        <w:rPr>
          <w:rFonts w:hint="default" w:ascii="Times New Roman" w:hAnsi="Times New Roman" w:cs="Times New Roman"/>
          <w:color w:val="000000" w:themeColor="text1"/>
          <w:lang w:val="en-US" w:eastAsia="zh-CN"/>
          <w14:textFill>
            <w14:solidFill>
              <w14:schemeClr w14:val="tx1"/>
            </w14:solidFill>
          </w14:textFill>
        </w:rPr>
        <w:t>3.6.4高处坠落危险性分析</w:t>
      </w:r>
      <w:bookmarkEnd w:id="409"/>
      <w:bookmarkEnd w:id="410"/>
      <w:bookmarkEnd w:id="411"/>
    </w:p>
    <w:p w14:paraId="757A81C3">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bookmarkStart w:id="412" w:name="_Toc45677439"/>
      <w:bookmarkStart w:id="413" w:name="_Toc120607114"/>
      <w:bookmarkStart w:id="414" w:name="_Toc60128294"/>
      <w:bookmarkStart w:id="415" w:name="_Toc45703696"/>
      <w:bookmarkStart w:id="416" w:name="_Toc45511300"/>
      <w:bookmarkStart w:id="417" w:name="_Toc45510934"/>
      <w:bookmarkStart w:id="418" w:name="_Toc45700536"/>
      <w:r>
        <w:rPr>
          <w:rFonts w:hint="default" w:ascii="Times New Roman" w:hAnsi="Times New Roman" w:cs="Times New Roman"/>
          <w:color w:val="000000" w:themeColor="text1"/>
          <w:spacing w:val="8"/>
          <w:sz w:val="28"/>
          <w:szCs w:val="28"/>
          <w14:textFill>
            <w14:solidFill>
              <w14:schemeClr w14:val="tx1"/>
            </w14:solidFill>
          </w14:textFill>
        </w:rPr>
        <w:t>在本项目中，凡在距离基准面垂直距离为2m以上的作业平台、巡视通道、楼梯等，在检修及巡视这些设备设施过程中，可能因下述原因，造成高处坠落。造成高处坠落事故的主要因素为：</w:t>
      </w:r>
    </w:p>
    <w:p w14:paraId="28D30465">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高处平台等处无安全防护栏等防护设施，或安全防护设施安装高度、承载力等不符合要求；</w:t>
      </w:r>
    </w:p>
    <w:p w14:paraId="0383F3D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高处作业时没有按要求佩戴安全带（绳）、安全帽或采取其他有效的安全保护措施；</w:t>
      </w:r>
    </w:p>
    <w:p w14:paraId="48026706">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高处作业立足处不是平面或只有很小的平面，致使作业者无法维持正常姿势；</w:t>
      </w:r>
    </w:p>
    <w:p w14:paraId="4C2E8C8E">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作业人员在高处进行作业时违章作业；</w:t>
      </w:r>
    </w:p>
    <w:p w14:paraId="1005D3F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作业人员疏忽大意，疲劳过度或酒后作业；</w:t>
      </w:r>
    </w:p>
    <w:p w14:paraId="226C0610">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6</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在进行高处作业时，安全管理不到位；</w:t>
      </w:r>
    </w:p>
    <w:p w14:paraId="438CF1AE">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7</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在雷暴雨、浓雾、六级以上大风等恶劣天气进行室外高处作业。</w:t>
      </w:r>
    </w:p>
    <w:p w14:paraId="2DD8F996">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19" w:name="_Toc7357"/>
      <w:bookmarkStart w:id="420" w:name="_Toc21264"/>
      <w:bookmarkStart w:id="421" w:name="_Toc22751"/>
      <w:r>
        <w:rPr>
          <w:rFonts w:hint="default" w:ascii="Times New Roman" w:hAnsi="Times New Roman" w:cs="Times New Roman"/>
          <w:color w:val="000000" w:themeColor="text1"/>
          <w:lang w:val="en-US" w:eastAsia="zh-CN"/>
          <w14:textFill>
            <w14:solidFill>
              <w14:schemeClr w14:val="tx1"/>
            </w14:solidFill>
          </w14:textFill>
        </w:rPr>
        <w:t>3.6.5触电事故危险性素分析</w:t>
      </w:r>
      <w:bookmarkEnd w:id="419"/>
      <w:bookmarkEnd w:id="420"/>
      <w:bookmarkEnd w:id="421"/>
    </w:p>
    <w:p w14:paraId="6EE0CF41">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触电事故是指人体直接、间接和跨步电压触电（电击、电伤）所造成的伤害。该项目设置了高、低压配电室，安装了变压器、配电屏（柜）、现场控制柜及各种电气设备（如变压器、电缆、开关、闸刀、插座）、用电设备，这些电器设备漏电易引发触电伤害事故，另外自动控制系统也可能引发触电事故。造成触电事故的主要因素：</w:t>
      </w:r>
    </w:p>
    <w:p w14:paraId="40E7C52F">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未办理操作票或不执行监护制度，不使用或使用不合格的绝缘工具和电器工具；</w:t>
      </w:r>
    </w:p>
    <w:p w14:paraId="454DD11A">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所有电器设备没有接零或接地保护；</w:t>
      </w:r>
    </w:p>
    <w:p w14:paraId="0002A744">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线路或电气设备工作完毕，未办理工作终结手续就对停电设备恢复送电；</w:t>
      </w:r>
    </w:p>
    <w:p w14:paraId="5687B253">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在带电设备附近作业，不符合安全间距或无监护措施；</w:t>
      </w:r>
    </w:p>
    <w:p w14:paraId="0B0145EA">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配电箱不符合安全要求；</w:t>
      </w:r>
    </w:p>
    <w:p w14:paraId="79E5D60F">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倒闸操作不核对设备名称、编号、位置状态；</w:t>
      </w:r>
    </w:p>
    <w:p w14:paraId="01F22009">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跨越安全围栏或超越安全警戒线；工作人员误碰带电设备；以及在带电设备附近使用钢卷尺等测量工具或携带金属超高物体在带电设备下行走；</w:t>
      </w:r>
    </w:p>
    <w:p w14:paraId="491EA77A">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私拉、乱拉电线；</w:t>
      </w:r>
    </w:p>
    <w:p w14:paraId="3C97EBF6">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用电保护系统失灵；</w:t>
      </w:r>
    </w:p>
    <w:p w14:paraId="1D01DA6D">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设备线路短路，机壳带电；</w:t>
      </w:r>
    </w:p>
    <w:p w14:paraId="6EA8A5A8">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在电缆沟、夹层或金属容器内工作不使用安全电压行灯照明；</w:t>
      </w:r>
    </w:p>
    <w:p w14:paraId="540EADC7">
      <w:pPr>
        <w:numPr>
          <w:ilvl w:val="0"/>
          <w:numId w:val="11"/>
        </w:num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在潮湿地区、金属容器内工作不穿绝缘鞋，无绝缘垫、无监护人等。</w:t>
      </w:r>
    </w:p>
    <w:p w14:paraId="4765AF05">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22" w:name="_Toc29259"/>
      <w:bookmarkStart w:id="423" w:name="_Toc20134"/>
      <w:bookmarkStart w:id="424" w:name="_Toc6569"/>
      <w:r>
        <w:rPr>
          <w:rFonts w:hint="default" w:ascii="Times New Roman" w:hAnsi="Times New Roman" w:cs="Times New Roman"/>
          <w:color w:val="000000" w:themeColor="text1"/>
          <w:lang w:val="en-US" w:eastAsia="zh-CN"/>
          <w14:textFill>
            <w14:solidFill>
              <w14:schemeClr w14:val="tx1"/>
            </w14:solidFill>
          </w14:textFill>
        </w:rPr>
        <w:t>3.6.6物体打击危险性分析</w:t>
      </w:r>
      <w:bookmarkEnd w:id="422"/>
      <w:bookmarkEnd w:id="423"/>
      <w:bookmarkEnd w:id="424"/>
    </w:p>
    <w:p w14:paraId="10D476BD">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物体打击，是指物体在重力或其他外力的作用下产生运动，打击人体造成人身伤亡事故。对其导致物体打击的主要原因分析如下：</w:t>
      </w:r>
    </w:p>
    <w:p w14:paraId="3D6C72B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若高处的防护栏、安全盖板等安全设施缺失，在生产过程中、对设备进行维护和检修过程中，在高处的工具和材料从高处跌落，或人为向下抛掷物件，均易造成对人员的物体打击伤害。</w:t>
      </w:r>
    </w:p>
    <w:p w14:paraId="7D083012">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物料、物件摆放不稳，倾覆，也会对人体造成物体打击，造成人员伤亡事故。</w:t>
      </w:r>
    </w:p>
    <w:p w14:paraId="195E1424">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如果在高空平台、通道上堆物或者高空装置零件破损，可能会造成物料或装置部件坠落。</w:t>
      </w:r>
    </w:p>
    <w:p w14:paraId="0F52CF8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高空抛物，未划定警戒线，无人监护。</w:t>
      </w:r>
    </w:p>
    <w:p w14:paraId="02CD8F01">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25" w:name="_Toc4669"/>
      <w:bookmarkStart w:id="426" w:name="_Toc19317"/>
      <w:bookmarkStart w:id="427" w:name="_Toc25288"/>
      <w:r>
        <w:rPr>
          <w:rFonts w:hint="default" w:ascii="Times New Roman" w:hAnsi="Times New Roman" w:cs="Times New Roman"/>
          <w:color w:val="000000" w:themeColor="text1"/>
          <w:lang w:val="en-US" w:eastAsia="zh-CN"/>
          <w14:textFill>
            <w14:solidFill>
              <w14:schemeClr w14:val="tx1"/>
            </w14:solidFill>
          </w14:textFill>
        </w:rPr>
        <w:t>3.6.7灼烫危险性分析</w:t>
      </w:r>
      <w:bookmarkEnd w:id="425"/>
      <w:bookmarkEnd w:id="426"/>
      <w:bookmarkEnd w:id="427"/>
    </w:p>
    <w:p w14:paraId="7D3DED06">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烫伤是指火焰烧伤、高温物体烫伤、蒸汽烫伤、化学灼伤（酸、碱、盐、有机物引起的体内外的灼伤）、物理灼伤（光、放射性物质引起的体内外的灼伤）。该项目烘烤、焙烧是在高温条件下进行，故生产过程中涉及高温设备、设施及高温物料，若防护不当，可能发生高温物体烫伤事故。引发事故的原因主要有：</w:t>
      </w:r>
    </w:p>
    <w:p w14:paraId="02963F80">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因其他原因接触高温物体或物料；</w:t>
      </w:r>
    </w:p>
    <w:p w14:paraId="4802222F">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高温物料未设置安全警示标志；</w:t>
      </w:r>
    </w:p>
    <w:p w14:paraId="6838EABF">
      <w:pPr>
        <w:adjustRightInd w:val="0"/>
        <w:snapToGrid w:val="0"/>
        <w:spacing w:line="500" w:lineRule="exact"/>
        <w:ind w:firstLine="592" w:firstLineChars="200"/>
        <w:contextualSpacing/>
        <w:rPr>
          <w:rFonts w:hint="eastAsia" w:ascii="Times New Roman" w:hAnsi="Times New Roman" w:eastAsia="宋体" w:cs="Times New Roman"/>
          <w:color w:val="000000" w:themeColor="text1"/>
          <w:spacing w:val="8"/>
          <w:sz w:val="28"/>
          <w:szCs w:val="28"/>
          <w:lang w:eastAsia="zh-CN"/>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val="en-US"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高温区域未设置防护栏、网等隔离措施</w:t>
      </w:r>
      <w:r>
        <w:rPr>
          <w:rFonts w:hint="eastAsia" w:ascii="Times New Roman" w:cs="Times New Roman"/>
          <w:color w:val="000000" w:themeColor="text1"/>
          <w:spacing w:val="8"/>
          <w:sz w:val="28"/>
          <w:szCs w:val="28"/>
          <w:lang w:eastAsia="zh-CN"/>
          <w14:textFill>
            <w14:solidFill>
              <w14:schemeClr w14:val="tx1"/>
            </w14:solidFill>
          </w14:textFill>
        </w:rPr>
        <w:t>。</w:t>
      </w:r>
    </w:p>
    <w:p w14:paraId="3ADDB63E">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28" w:name="_Toc28310"/>
      <w:bookmarkStart w:id="429" w:name="_Toc12404"/>
      <w:bookmarkStart w:id="430" w:name="_Toc22305"/>
      <w:r>
        <w:rPr>
          <w:rFonts w:hint="default" w:ascii="Times New Roman" w:hAnsi="Times New Roman" w:cs="Times New Roman"/>
          <w:color w:val="000000" w:themeColor="text1"/>
          <w:lang w:val="en-US" w:eastAsia="zh-CN"/>
          <w14:textFill>
            <w14:solidFill>
              <w14:schemeClr w14:val="tx1"/>
            </w14:solidFill>
          </w14:textFill>
        </w:rPr>
        <w:t>3.6.8车辆伤害危险性分析</w:t>
      </w:r>
      <w:bookmarkEnd w:id="428"/>
      <w:bookmarkEnd w:id="429"/>
      <w:bookmarkEnd w:id="430"/>
    </w:p>
    <w:p w14:paraId="3FCF77B1">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该项目中的原料及成品主要通过车辆运输（如：汽车、装载机等）,运输量较大，运送产品的机动车辆、货物运输的车辆如没有严格的交通管理措施，可能发生造成车辆伤害。车辆伤害事故的原因是多方面的，但主要是涉及人（驾驶员、行人、装卸工）、车（机动车与非机动车）、道路环境这三个综合因素。对产生车辆伤害的主要原因分析如下：</w:t>
      </w:r>
    </w:p>
    <w:p w14:paraId="4FFAB092">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违章驾车</w:t>
      </w:r>
    </w:p>
    <w:p w14:paraId="30D846E7">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指事故的当事人，由于思想方面的原因而导致的错误操作行为，不按有关规定行驶，扰乱正常的企业内搬运秩序，致使事故发生。如酒后驾车，疲劳驾车，非驾驶员驾车，超速行驶，争道抢行，违章超车，违章装载等原因造成的车辆伤害事故。</w:t>
      </w:r>
    </w:p>
    <w:p w14:paraId="19351D8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疏忽大意</w:t>
      </w:r>
    </w:p>
    <w:p w14:paraId="42A0CD8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指当事人由于心理或生理方面的原因，没有及时、正确的观察和判断道路情况，而造成失误，如情绪急躁、精神分散、心理烦乱、身体不适等都可能造成注意力下降，反应迟钝，表现出嘹望观察不周，遇到情况采取措施不及时或不当；也有的只凭主观想象判断情况，或过高地估计自己的经验技术，过分自信，引起操作失误导致事故。</w:t>
      </w:r>
    </w:p>
    <w:p w14:paraId="19061075">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车况不良</w:t>
      </w:r>
    </w:p>
    <w:p w14:paraId="3453D9F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车辆的安全装置如转向、制动、喇叭、照明；后视镜和转向指示灯等不齐全有效；车辆维护修理不及时，带“病”行驶。</w:t>
      </w:r>
    </w:p>
    <w:p w14:paraId="35F9A201">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道路环境</w:t>
      </w:r>
    </w:p>
    <w:p w14:paraId="237C0131">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道路条件差、因建筑物或自然环境影响造成视线不良等。</w:t>
      </w:r>
    </w:p>
    <w:p w14:paraId="404604EF">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高位原料堆场斜坡、弯道等处未设置防滑措施和挡车装置，导致车辆倒退过界，发生翻车事故。</w:t>
      </w:r>
    </w:p>
    <w:p w14:paraId="67574487">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管理因素</w:t>
      </w:r>
    </w:p>
    <w:p w14:paraId="643ED4D0">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车辆安全行驶制度不落实，管理规章制度或操作规程不健全，非驾驶员驾车，车辆维修不及时，交通信号、标志、设施缺陷。</w:t>
      </w:r>
    </w:p>
    <w:bookmarkEnd w:id="403"/>
    <w:bookmarkEnd w:id="412"/>
    <w:bookmarkEnd w:id="413"/>
    <w:bookmarkEnd w:id="414"/>
    <w:bookmarkEnd w:id="415"/>
    <w:bookmarkEnd w:id="416"/>
    <w:bookmarkEnd w:id="417"/>
    <w:bookmarkEnd w:id="418"/>
    <w:p w14:paraId="7A5A902E">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31" w:name="_Toc21061"/>
      <w:bookmarkStart w:id="432" w:name="_Toc16327"/>
      <w:bookmarkStart w:id="433" w:name="_Toc31207"/>
      <w:r>
        <w:rPr>
          <w:rFonts w:hint="default" w:ascii="Times New Roman" w:hAnsi="Times New Roman" w:cs="Times New Roman"/>
          <w:color w:val="000000" w:themeColor="text1"/>
          <w:lang w:val="en-US" w:eastAsia="zh-CN"/>
          <w14:textFill>
            <w14:solidFill>
              <w14:schemeClr w14:val="tx1"/>
            </w14:solidFill>
          </w14:textFill>
        </w:rPr>
        <w:t>3.6.9坍塌危险性分析</w:t>
      </w:r>
      <w:bookmarkEnd w:id="431"/>
      <w:bookmarkEnd w:id="432"/>
      <w:bookmarkEnd w:id="433"/>
    </w:p>
    <w:p w14:paraId="6C2D4355">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厂区工程地质不符合要求，会造成建成的建、构筑物坍塌；建、构筑物设计不合理，或施工质量不合格，可能造成建、构筑物坍塌。该项目车间、仓库、原料堆场、隧道窑等场所若堆放的原料或成品过高，堆放不整齐，未划分相应的定置管理区域，则在周围作业时会发生坍塌事故；另外若物料靠墙堆放可能会导致建筑物坍塌。若人员被物料掩埋，甚至可能发生人员伤亡事故。</w:t>
      </w:r>
    </w:p>
    <w:p w14:paraId="23752D1B">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34" w:name="_Toc15967"/>
      <w:bookmarkStart w:id="435" w:name="_Toc31361"/>
      <w:bookmarkStart w:id="436" w:name="_Toc2346"/>
      <w:r>
        <w:rPr>
          <w:rFonts w:hint="default" w:ascii="Times New Roman" w:hAnsi="Times New Roman" w:cs="Times New Roman"/>
          <w:color w:val="000000" w:themeColor="text1"/>
          <w:lang w:val="en-US" w:eastAsia="zh-CN"/>
          <w14:textFill>
            <w14:solidFill>
              <w14:schemeClr w14:val="tx1"/>
            </w14:solidFill>
          </w14:textFill>
        </w:rPr>
        <w:t>3.6.10中毒和窒息危险性分析</w:t>
      </w:r>
      <w:bookmarkEnd w:id="434"/>
      <w:bookmarkEnd w:id="435"/>
      <w:bookmarkEnd w:id="436"/>
    </w:p>
    <w:p w14:paraId="42BED3D2">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中毒和窒息是指机体过量、大量接触化学毒物，引发组织结构和功能损害、代谢障碍而发生疾病、死亡或因外界氧气不足或其他气体过多或者呼吸系统发生障碍而呼吸困难甚至停止呼吸。该项目运行过程中涉及到隧道窑的烟气（含二氧化硫、氟化物、一氧化碳、烟尘等）有毒有害气体，若操作环境通风不良，有毒、有害气体泄漏并积聚到危险浓度，可能导致人员中毒和窒息危险，其原因分析如下：</w:t>
      </w:r>
    </w:p>
    <w:p w14:paraId="2D8B996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操作人员安全意识不足、未采取相应的防护措施，可能在检修过程掉入储罐内，造成窒息危险；</w:t>
      </w:r>
    </w:p>
    <w:p w14:paraId="419D78BE">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在设备检修时或进入限制性空间检修作业时，若置换不完全，通风不畅，储罐、槽内有毒、有害气体浓度超标，易发生中毒和窒息事故；</w:t>
      </w:r>
    </w:p>
    <w:p w14:paraId="1858F441">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烟气系统烟道、烟道挡板、设备等不严密或引风机故障，造成烟气泄漏，烟气中二氧化硫、一氧化碳气体等，有可能会造成现场人员的中毒和窒息事故；</w:t>
      </w:r>
    </w:p>
    <w:p w14:paraId="6538298F">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操作人员未佩戴相应的劳动防护用品或劳动防护用品不符合相关要求；</w:t>
      </w:r>
    </w:p>
    <w:p w14:paraId="0081A315">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在有毒、有害气体可能泄漏的作业场所通风不良和通风装置失效。</w:t>
      </w:r>
    </w:p>
    <w:p w14:paraId="0097B81F">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37" w:name="_Toc28688"/>
      <w:bookmarkStart w:id="438" w:name="_Toc3634"/>
      <w:bookmarkStart w:id="439" w:name="_Toc12571"/>
      <w:r>
        <w:rPr>
          <w:rFonts w:hint="default" w:ascii="Times New Roman" w:hAnsi="Times New Roman" w:cs="Times New Roman"/>
          <w:color w:val="000000" w:themeColor="text1"/>
          <w:lang w:val="en-US" w:eastAsia="zh-CN"/>
          <w14:textFill>
            <w14:solidFill>
              <w14:schemeClr w14:val="tx1"/>
            </w14:solidFill>
          </w14:textFill>
        </w:rPr>
        <w:t>3.6.11静电、雷电危险性分析</w:t>
      </w:r>
      <w:bookmarkEnd w:id="437"/>
      <w:bookmarkEnd w:id="438"/>
    </w:p>
    <w:p w14:paraId="176BE98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静电危害</w:t>
      </w:r>
    </w:p>
    <w:p w14:paraId="107D338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生产过程中，在变压器、配电室、厂房等有弱电、强电操作的环境处，都可能会出现静电放电和雷电放电现象，均可成为引起燃烧的点火源，导致火灾或其他因控制失灵产生的事故。</w:t>
      </w:r>
    </w:p>
    <w:p w14:paraId="32D04B95">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雷电的危害</w:t>
      </w:r>
    </w:p>
    <w:p w14:paraId="3E229084">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雷电的破坏作用主要为三种：直接雷击破坏、感应雷破坏和雷电波侵入破坏。</w:t>
      </w:r>
    </w:p>
    <w:p w14:paraId="429720C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（1）直接雷击破坏</w:t>
      </w:r>
    </w:p>
    <w:p w14:paraId="21B2E84C">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当雷电直接击在建筑物上，强大的雷电流使建 (构) 筑物水分受热汽化膨胀，从而产生很大的机械力，导致建筑物燃烧或爆炸。另外，当雷电击中接闪器，电流沿引下线向大地泻放时，这时对地电位升高，有可能向临近的物体跳击，称为雷电“反击”，从而造成火灾或人身伤亡</w:t>
      </w:r>
    </w:p>
    <w:p w14:paraId="500F7E0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（2）感应雷破坏</w:t>
      </w:r>
    </w:p>
    <w:p w14:paraId="1A0E023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感应雷破坏也称为二次破坏。由于雷电流变化梯度很大，会产生强大的交变磁场，使得周围的金属构件产生感应电流，这种电流可能向周围物体放电，如附近有可燃物就会引发火灾和爆炸，而感应到正在联机的导线上就会对设备产生强烈的破坏性。</w:t>
      </w:r>
    </w:p>
    <w:p w14:paraId="5ECCC111">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（3）雷电波侵入破坏</w:t>
      </w:r>
    </w:p>
    <w:p w14:paraId="1B8B2B41">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当雷电接近架空管线时，高压冲击波会沿架空管线侵入室内，造成高电流引入，这样可能引起设备损坏或人身伤亡事故。如果附近有可燃物，容易酿成火灾。</w:t>
      </w:r>
    </w:p>
    <w:p w14:paraId="2B245DB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当遇到雷雨天气时，全厂各建、构筑物、设备、管道和人员均可能受到雷击伤害。</w:t>
      </w:r>
    </w:p>
    <w:p w14:paraId="341512FA">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40" w:name="_Toc17506"/>
      <w:r>
        <w:rPr>
          <w:rFonts w:hint="eastAsia" w:ascii="Times New Roman" w:hAnsi="Times New Roman" w:cs="Times New Roman"/>
          <w:color w:val="000000" w:themeColor="text1"/>
          <w:lang w:val="en-US" w:eastAsia="zh-CN"/>
          <w14:textFill>
            <w14:solidFill>
              <w14:schemeClr w14:val="tx1"/>
            </w14:solidFill>
          </w14:textFill>
        </w:rPr>
        <w:t>3.6.12</w:t>
      </w:r>
      <w:r>
        <w:rPr>
          <w:rFonts w:hint="default" w:ascii="Times New Roman" w:hAnsi="Times New Roman" w:cs="Times New Roman"/>
          <w:color w:val="000000" w:themeColor="text1"/>
          <w:lang w:val="en-US" w:eastAsia="zh-CN"/>
          <w14:textFill>
            <w14:solidFill>
              <w14:schemeClr w14:val="tx1"/>
            </w14:solidFill>
          </w14:textFill>
        </w:rPr>
        <w:t>淹溺</w:t>
      </w:r>
      <w:r>
        <w:rPr>
          <w:rFonts w:hint="eastAsia" w:ascii="Times New Roman" w:hAnsi="Times New Roman" w:cs="Times New Roman"/>
          <w:color w:val="000000" w:themeColor="text1"/>
          <w:lang w:val="en-US" w:eastAsia="zh-CN"/>
          <w14:textFill>
            <w14:solidFill>
              <w14:schemeClr w14:val="tx1"/>
            </w14:solidFill>
          </w14:textFill>
        </w:rPr>
        <w:t>危险性分析</w:t>
      </w:r>
      <w:bookmarkEnd w:id="440"/>
    </w:p>
    <w:p w14:paraId="37CADB14">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生产现场的脱硫水池、</w:t>
      </w:r>
      <w:r>
        <w:rPr>
          <w:rFonts w:hint="eastAsia" w:ascii="Times New Roman" w:cs="Times New Roman"/>
          <w:color w:val="000000" w:themeColor="text1"/>
          <w:spacing w:val="8"/>
          <w:sz w:val="28"/>
          <w:szCs w:val="28"/>
          <w:lang w:val="en-US" w:eastAsia="zh-CN"/>
          <w14:textFill>
            <w14:solidFill>
              <w14:schemeClr w14:val="tx1"/>
            </w14:solidFill>
          </w14:textFill>
        </w:rPr>
        <w:t>污水处理</w:t>
      </w:r>
      <w:r>
        <w:rPr>
          <w:rFonts w:hint="default" w:ascii="Times New Roman" w:hAnsi="Times New Roman" w:cs="Times New Roman"/>
          <w:color w:val="000000" w:themeColor="text1"/>
          <w:spacing w:val="8"/>
          <w:sz w:val="28"/>
          <w:szCs w:val="28"/>
          <w14:textFill>
            <w14:solidFill>
              <w14:schemeClr w14:val="tx1"/>
            </w14:solidFill>
          </w14:textFill>
        </w:rPr>
        <w:t>池等水池没有设置防护栏或盖板，若作业人员不慎跌入，可能造成淹溺伤害。</w:t>
      </w:r>
    </w:p>
    <w:p w14:paraId="6F050796">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41" w:name="_Toc30161"/>
      <w:r>
        <w:rPr>
          <w:rFonts w:hint="default"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13 </w:t>
      </w:r>
      <w:r>
        <w:rPr>
          <w:rFonts w:hint="default" w:ascii="Times New Roman" w:hAnsi="Times New Roman" w:cs="Times New Roman"/>
          <w:color w:val="000000" w:themeColor="text1"/>
          <w:lang w:val="en-US" w:eastAsia="zh-CN"/>
          <w14:textFill>
            <w14:solidFill>
              <w14:schemeClr w14:val="tx1"/>
            </w14:solidFill>
          </w14:textFill>
        </w:rPr>
        <w:t>起重伤害</w:t>
      </w:r>
      <w:r>
        <w:rPr>
          <w:rFonts w:hint="eastAsia" w:ascii="Times New Roman" w:hAnsi="Times New Roman" w:cs="Times New Roman"/>
          <w:color w:val="000000" w:themeColor="text1"/>
          <w:lang w:val="en-US" w:eastAsia="zh-CN"/>
          <w14:textFill>
            <w14:solidFill>
              <w14:schemeClr w14:val="tx1"/>
            </w14:solidFill>
          </w14:textFill>
        </w:rPr>
        <w:t>危险性分析</w:t>
      </w:r>
      <w:bookmarkEnd w:id="441"/>
    </w:p>
    <w:p w14:paraId="5DB6C8E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000000" w:themeColor="text1"/>
          <w:spacing w:val="8"/>
          <w:sz w:val="28"/>
          <w:szCs w:val="28"/>
          <w14:textFill>
            <w14:solidFill>
              <w14:schemeClr w14:val="tx1"/>
            </w14:solidFill>
          </w14:textFill>
        </w:rPr>
      </w:pPr>
      <w:r>
        <w:rPr>
          <w:rFonts w:hint="eastAsia" w:ascii="宋体" w:hAnsi="宋体" w:eastAsia="宋体" w:cs="Times New Roman"/>
          <w:color w:val="000000" w:themeColor="text1"/>
          <w:sz w:val="28"/>
          <w:szCs w:val="28"/>
          <w:lang w:val="zh-CN" w:eastAsia="zh-CN"/>
          <w14:textFill>
            <w14:solidFill>
              <w14:schemeClr w14:val="tx1"/>
            </w14:solidFill>
          </w14:textFill>
        </w:rPr>
        <w:t>起重伤害是指从事各种起重作业时发生的伤害事故。生产过程中所用到的叉车、</w:t>
      </w:r>
      <w:r>
        <w:rPr>
          <w:rFonts w:hint="eastAsia" w:hAnsi="宋体" w:cs="Times New Roman"/>
          <w:color w:val="000000" w:themeColor="text1"/>
          <w:sz w:val="28"/>
          <w:szCs w:val="28"/>
          <w:lang w:val="en-US" w:eastAsia="zh-CN"/>
          <w14:textFill>
            <w14:solidFill>
              <w14:schemeClr w14:val="tx1"/>
            </w14:solidFill>
          </w14:textFill>
        </w:rPr>
        <w:t>起重机</w:t>
      </w:r>
      <w:r>
        <w:rPr>
          <w:rFonts w:hint="eastAsia" w:ascii="宋体" w:hAnsi="宋体" w:eastAsia="宋体" w:cs="Times New Roman"/>
          <w:color w:val="000000" w:themeColor="text1"/>
          <w:sz w:val="28"/>
          <w:szCs w:val="28"/>
          <w:lang w:val="zh-CN" w:eastAsia="zh-CN"/>
          <w14:textFill>
            <w14:solidFill>
              <w14:schemeClr w14:val="tx1"/>
            </w14:solidFill>
          </w14:textFill>
        </w:rPr>
        <w:t>会因自身缺陷、操作不当、架设不牢、联系不当等原因，发生吊物坠落、撞击、挤压等伤及人身的事故。</w:t>
      </w:r>
    </w:p>
    <w:bookmarkEnd w:id="439"/>
    <w:p w14:paraId="404C74E0">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42" w:name="_Toc19873"/>
      <w:bookmarkStart w:id="443" w:name="_Toc7721"/>
      <w:bookmarkStart w:id="444" w:name="_Toc14853"/>
      <w:r>
        <w:rPr>
          <w:rFonts w:hint="default" w:ascii="Times New Roman" w:hAnsi="Times New Roman" w:cs="Times New Roman"/>
          <w:color w:val="000000" w:themeColor="text1"/>
          <w:lang w:val="en-US" w:eastAsia="zh-CN"/>
          <w14:textFill>
            <w14:solidFill>
              <w14:schemeClr w14:val="tx1"/>
            </w14:solidFill>
          </w14:textFill>
        </w:rPr>
        <w:t>3.6.1</w:t>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cs="Times New Roman"/>
          <w:color w:val="000000" w:themeColor="text1"/>
          <w:lang w:val="en-US" w:eastAsia="zh-CN"/>
          <w14:textFill>
            <w14:solidFill>
              <w14:schemeClr w14:val="tx1"/>
            </w14:solidFill>
          </w14:textFill>
        </w:rPr>
        <w:t>其他伤害危险性分析</w:t>
      </w:r>
      <w:bookmarkEnd w:id="442"/>
      <w:bookmarkEnd w:id="443"/>
      <w:bookmarkEnd w:id="444"/>
    </w:p>
    <w:p w14:paraId="00779A44">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噪声危害</w:t>
      </w:r>
    </w:p>
    <w:p w14:paraId="106814DD">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噪声就是各种不同频率和强度的声音，呈无规律的杂乱组合，其波形呈无规则变化，听起来使人感到厌烦或音量过强而危害人体健康的声音。可分为：机械噪声、空气动力性噪声和电磁噪声。该项目产生的噪声主要是由空压机运行发出的声音，其次是电磁噪声。</w:t>
      </w:r>
    </w:p>
    <w:p w14:paraId="2EC43A37">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噪声能引起听觉功能敏感度下降甚至造成耳聋，或引起神经衰弱心血管疾病及消化系统等疾病的高发，使误操作率上升。其主要危害是对听力系统的损害，强噪声作用下，可导致永久性听力下降，内耳感音细胞遭损伤，引起噪声性耳聋。引发噪声危害的原因主要有：</w:t>
      </w:r>
    </w:p>
    <w:p w14:paraId="2AD76ED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（1）机械设备运转不正常，造成噪声超标；</w:t>
      </w:r>
    </w:p>
    <w:p w14:paraId="0B313B7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（2）工作环境中噪声超标；</w:t>
      </w:r>
    </w:p>
    <w:p w14:paraId="2D11FC1A">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（3）人员未采取防护措施或防护措施失效；</w:t>
      </w:r>
    </w:p>
    <w:p w14:paraId="32EAB66A">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（4）高噪声设备未采取隔声、消声、吸声、隔振等安全措施；</w:t>
      </w:r>
    </w:p>
    <w:p w14:paraId="0DB8C74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（5）人员长时间在噪声环境中劳动；</w:t>
      </w:r>
    </w:p>
    <w:p w14:paraId="4E4B7C93">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（6）安全资金投入不足、安全教育培训不够、个体防护不到位等。</w:t>
      </w:r>
    </w:p>
    <w:p w14:paraId="5C7044C3">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粉尘危害</w:t>
      </w:r>
    </w:p>
    <w:p w14:paraId="77E568A7">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生产过程中，如果在粉尘作业环境中长时间工作吸入粉尘，就会引起肺部组织纤维化、硬化，丧失呼吸功能，导致肺病甚至尘肺病。粉尘还会引起刺激性疾病、急性中毒或癌症。</w:t>
      </w:r>
    </w:p>
    <w:p w14:paraId="78E6CDE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由于粉尘的性质不同，对肺组织引起病理改变也有差异。该项目粉尘主要是破碎系统产生的扬尘。引发粉尘危害的原因主要有：</w:t>
      </w:r>
    </w:p>
    <w:p w14:paraId="6EED3B36">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（1）人工投料、生产设备密封性差，易引起扬尘；未采取通风除尘措施或通风除尘措施达不到预期效果；</w:t>
      </w:r>
    </w:p>
    <w:p w14:paraId="42107BA1">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（2）长期在高粉尘环境下劳动：包装、物料装卸过程中，人员野蛮操作，产生扬尘或大风天气，受风力作用，产生扬尘；</w:t>
      </w:r>
    </w:p>
    <w:p w14:paraId="4105422E">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（3）人员未采取相应的防尘措施或防尘用品质量不合格，防尘效果差等其他可能导致事故的原因。</w:t>
      </w:r>
    </w:p>
    <w:p w14:paraId="0053B60E">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辐射危害</w:t>
      </w:r>
    </w:p>
    <w:p w14:paraId="3716BC35">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辐射指的是能量以电磁波或粒子的形式向外扩散，自然界中的一切物体，只要温度在绝对温度零度以上，都以电磁波和粒子的形式时刻不停地向外传送热量，这种传送能量的方式被称为辐射；某些物质的辐射可能会带来危害。该项目可能存在高温辐射、电磁辐射危险：</w:t>
      </w:r>
    </w:p>
    <w:p w14:paraId="552B2032">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（1）隧道窑等高温设备未采取隔热措施或隔热层隔热效果差，不可避免会向周围环境散发热量，若通风不良、近距离操作、未穿隔热服等长期作业可能受高温辐射影响；</w:t>
      </w:r>
    </w:p>
    <w:p w14:paraId="42B1724D">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变压器等高电压、高电流设备会辐射电磁波。设备本身设计缺陷、未采取屏蔽等工程技术措施及自动化、未为从业人员配发防辐射劳动防护用品等可能受电磁辐射影响；电磁辐射还会对一些电子设备、精密设备等造成损坏；</w:t>
      </w:r>
    </w:p>
    <w:p w14:paraId="03108DEA">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bookmarkStart w:id="445" w:name="_Toc10588"/>
      <w:bookmarkStart w:id="446" w:name="_Toc4617"/>
      <w:r>
        <w:rPr>
          <w:rFonts w:hint="eastAsia" w:ascii="Times New Roman" w:cs="Times New Roman"/>
          <w:color w:val="000000" w:themeColor="text1"/>
          <w:spacing w:val="8"/>
          <w:sz w:val="28"/>
          <w:szCs w:val="28"/>
          <w:lang w:val="en-US" w:eastAsia="zh-CN"/>
          <w14:textFill>
            <w14:solidFill>
              <w14:schemeClr w14:val="tx1"/>
            </w14:solidFill>
          </w14:textFill>
        </w:rPr>
        <w:t>4</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其它</w:t>
      </w:r>
      <w:bookmarkEnd w:id="445"/>
      <w:bookmarkEnd w:id="446"/>
    </w:p>
    <w:p w14:paraId="46C26CE0">
      <w:pPr>
        <w:adjustRightInd w:val="0"/>
        <w:snapToGrid w:val="0"/>
        <w:spacing w:line="500" w:lineRule="exact"/>
        <w:ind w:firstLine="560" w:firstLineChars="200"/>
        <w:contextualSpacing/>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本项目在生产过程中，还存在着其它危险、有害因素，例如地震等自然灾害。其主要危险性如下：</w:t>
      </w:r>
    </w:p>
    <w:p w14:paraId="4CEF991E">
      <w:pPr>
        <w:adjustRightInd w:val="0"/>
        <w:snapToGrid w:val="0"/>
        <w:spacing w:line="500" w:lineRule="exact"/>
        <w:ind w:firstLine="560" w:firstLineChars="200"/>
        <w:contextualSpacing/>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地震是一种自然灾害，是不可抗拒的，甚至是毁灭性的因素。其对人造成伤亡或对建筑物及设备造成突发损害的因素；有害因素直接或间接影响人的身体健康，导致疾病或对建筑物和设备、环境造成损害的因素；</w:t>
      </w:r>
    </w:p>
    <w:p w14:paraId="383FB032">
      <w:pPr>
        <w:adjustRightInd w:val="0"/>
        <w:snapToGrid w:val="0"/>
        <w:spacing w:line="500" w:lineRule="exact"/>
        <w:ind w:firstLine="560" w:firstLineChars="200"/>
        <w:contextualSpacing/>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（2）不良地质：由于地质构造、岩浆活动等地质异常活动现象，易产生地震自然灾害；</w:t>
      </w:r>
    </w:p>
    <w:p w14:paraId="43EB98C8">
      <w:pPr>
        <w:adjustRightInd w:val="0"/>
        <w:snapToGrid w:val="0"/>
        <w:spacing w:line="500" w:lineRule="exact"/>
        <w:ind w:firstLine="560" w:firstLineChars="200"/>
        <w:contextualSpacing/>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（3）气温：人体有最适宜的环境温度，当其超过一定范围时，会产生不舒服感，气温极端会使人发生中暑和冻伤；</w:t>
      </w:r>
    </w:p>
    <w:p w14:paraId="379A0B45">
      <w:pPr>
        <w:adjustRightInd w:val="0"/>
        <w:snapToGrid w:val="0"/>
        <w:spacing w:line="500" w:lineRule="exact"/>
        <w:ind w:firstLine="560" w:firstLineChars="200"/>
        <w:contextualSpacing/>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（4）其他：暴雨和洪水威胁工厂安全，其作用范围大。</w:t>
      </w:r>
    </w:p>
    <w:p w14:paraId="047A6086">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447" w:name="_Toc30935"/>
      <w:bookmarkStart w:id="448" w:name="_Toc186"/>
      <w:bookmarkStart w:id="449" w:name="_Toc13018"/>
      <w:bookmarkStart w:id="450" w:name="_Toc30001402"/>
      <w:bookmarkStart w:id="451" w:name="_Toc61474425"/>
      <w:r>
        <w:rPr>
          <w:rFonts w:hint="default" w:ascii="Times New Roman" w:hAnsi="Times New Roman" w:eastAsia="楷体" w:cs="Times New Roman"/>
          <w:color w:val="000000" w:themeColor="text1"/>
          <w14:textFill>
            <w14:solidFill>
              <w14:schemeClr w14:val="tx1"/>
            </w14:solidFill>
          </w14:textFill>
        </w:rPr>
        <w:t>3.7特殊作业危险性分析</w:t>
      </w:r>
      <w:bookmarkEnd w:id="447"/>
      <w:bookmarkEnd w:id="448"/>
      <w:bookmarkEnd w:id="449"/>
    </w:p>
    <w:p w14:paraId="220582C4">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52" w:name="_Toc4112"/>
      <w:bookmarkStart w:id="453" w:name="_Toc6980"/>
      <w:bookmarkStart w:id="454" w:name="_Toc12401"/>
      <w:r>
        <w:rPr>
          <w:rFonts w:hint="default" w:ascii="Times New Roman" w:hAnsi="Times New Roman" w:cs="Times New Roman"/>
          <w:color w:val="000000" w:themeColor="text1"/>
          <w:lang w:val="en-US" w:eastAsia="zh-CN"/>
          <w14:textFill>
            <w14:solidFill>
              <w14:schemeClr w14:val="tx1"/>
            </w14:solidFill>
          </w14:textFill>
        </w:rPr>
        <w:t>3.7.1有限空间作业危险性分析</w:t>
      </w:r>
      <w:bookmarkEnd w:id="452"/>
      <w:bookmarkEnd w:id="453"/>
      <w:bookmarkEnd w:id="454"/>
    </w:p>
    <w:p w14:paraId="4DD7192D">
      <w:pPr>
        <w:tabs>
          <w:tab w:val="left" w:pos="3900"/>
        </w:tabs>
        <w:adjustRightInd w:val="0"/>
        <w:snapToGrid w:val="0"/>
        <w:spacing w:line="500" w:lineRule="exact"/>
        <w:ind w:firstLine="560" w:firstLineChars="200"/>
        <w:rPr>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有限空间，是指封闭或者部分封闭，与外界相对隔离，出入口较为狭窄，作业人员不能长时间在内工作，自然通风不良，易造成有毒有害或者氧含量不足的空间。</w:t>
      </w:r>
      <w:r>
        <w:rPr>
          <w:rFonts w:hint="eastAsia"/>
          <w:color w:val="000000" w:themeColor="text1"/>
          <w:sz w:val="28"/>
          <w:szCs w:val="28"/>
          <w14:textFill>
            <w14:solidFill>
              <w14:schemeClr w14:val="tx1"/>
            </w14:solidFill>
          </w14:textFill>
        </w:rPr>
        <w:t>该企业有限空间为</w:t>
      </w:r>
      <w:r>
        <w:rPr>
          <w:rFonts w:hint="eastAsia"/>
          <w:color w:val="000000" w:themeColor="text1"/>
          <w:sz w:val="28"/>
          <w:szCs w:val="28"/>
          <w:lang w:val="en-US" w:eastAsia="zh-CN"/>
          <w14:textFill>
            <w14:solidFill>
              <w14:schemeClr w14:val="tx1"/>
            </w14:solidFill>
          </w14:textFill>
        </w:rPr>
        <w:t>隧道窑、脱硫塔、</w:t>
      </w:r>
      <w:r>
        <w:rPr>
          <w:rFonts w:hint="eastAsia"/>
          <w:color w:val="000000" w:themeColor="text1"/>
          <w:sz w:val="28"/>
          <w:szCs w:val="28"/>
          <w14:textFill>
            <w14:solidFill>
              <w14:schemeClr w14:val="tx1"/>
            </w14:solidFill>
          </w14:textFill>
        </w:rPr>
        <w:t>化粪池</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污水处理池等</w:t>
      </w:r>
      <w:r>
        <w:rPr>
          <w:rFonts w:hint="eastAsia"/>
          <w:color w:val="000000" w:themeColor="text1"/>
          <w:sz w:val="28"/>
          <w:szCs w:val="28"/>
          <w14:textFill>
            <w14:solidFill>
              <w14:schemeClr w14:val="tx1"/>
            </w14:solidFill>
          </w14:textFill>
        </w:rPr>
        <w:t>。进入有限空间作业存在的主要安全风险包括</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触电、</w:t>
      </w:r>
      <w:r>
        <w:rPr>
          <w:rFonts w:hint="eastAsia"/>
          <w:color w:val="000000" w:themeColor="text1"/>
          <w:sz w:val="28"/>
          <w:szCs w:val="28"/>
          <w14:textFill>
            <w14:solidFill>
              <w14:schemeClr w14:val="tx1"/>
            </w14:solidFill>
          </w14:textFill>
        </w:rPr>
        <w:t>中毒</w:t>
      </w:r>
      <w:r>
        <w:rPr>
          <w:rFonts w:hint="eastAsia"/>
          <w:color w:val="000000" w:themeColor="text1"/>
          <w:sz w:val="28"/>
          <w:szCs w:val="28"/>
          <w:lang w:val="en-US" w:eastAsia="zh-CN"/>
          <w14:textFill>
            <w14:solidFill>
              <w14:schemeClr w14:val="tx1"/>
            </w14:solidFill>
          </w14:textFill>
        </w:rPr>
        <w:t>和</w:t>
      </w:r>
      <w:r>
        <w:rPr>
          <w:rFonts w:hint="eastAsia"/>
          <w:color w:val="000000" w:themeColor="text1"/>
          <w:sz w:val="28"/>
          <w:szCs w:val="28"/>
          <w14:textFill>
            <w14:solidFill>
              <w14:schemeClr w14:val="tx1"/>
            </w14:solidFill>
          </w14:textFill>
        </w:rPr>
        <w:t>窒息、高处坠落，淹溺</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坍塌</w:t>
      </w:r>
      <w:r>
        <w:rPr>
          <w:rFonts w:hint="eastAsia"/>
          <w:color w:val="000000" w:themeColor="text1"/>
          <w:sz w:val="28"/>
          <w:szCs w:val="28"/>
          <w14:textFill>
            <w14:solidFill>
              <w14:schemeClr w14:val="tx1"/>
            </w14:solidFill>
          </w14:textFill>
        </w:rPr>
        <w:t>等。</w:t>
      </w:r>
    </w:p>
    <w:p w14:paraId="7D0D1F6E">
      <w:pPr>
        <w:tabs>
          <w:tab w:val="left" w:pos="3900"/>
        </w:tabs>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w:t>
      </w: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中毒和窒息</w:t>
      </w:r>
    </w:p>
    <w:p w14:paraId="61F97C9F">
      <w:pPr>
        <w:tabs>
          <w:tab w:val="left" w:pos="3900"/>
        </w:tabs>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有限空间容易积聚高浓度的有毒有害物质。有毒有害物质可能是原本存在于有限空间内的，也可能是作业过程中逐渐积聚的。</w:t>
      </w:r>
    </w:p>
    <w:p w14:paraId="2CB621DC">
      <w:pPr>
        <w:tabs>
          <w:tab w:val="left" w:pos="3900"/>
        </w:tabs>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进入有限空间作业时没有配带必要的防毒面具、氧气呼吸器，同时没有进行有效置换，没有对空气中氧含量和存在的有毒气体进行分析、测定，或者没有与其它设备、管道可靠隔断，其它系统的介质进入所作业内等容易造成作业人员因缺氧的窒息，甚至死亡。</w:t>
      </w:r>
    </w:p>
    <w:p w14:paraId="34F7AD97">
      <w:pPr>
        <w:tabs>
          <w:tab w:val="left" w:pos="3900"/>
        </w:tabs>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w:t>
      </w: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触电</w:t>
      </w:r>
    </w:p>
    <w:p w14:paraId="36F516AD">
      <w:pPr>
        <w:tabs>
          <w:tab w:val="left" w:pos="3900"/>
        </w:tabs>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进入有限空间作业没有把起动机械的电机电源断开，没有在电源处挂上“禁止合闸”等警示牌，或者有限空间内作业照明，使用的电动工具不是安全电压，没有可靠接地等；都容易引起触电伤害。</w:t>
      </w:r>
    </w:p>
    <w:p w14:paraId="7DBA88A4">
      <w:pPr>
        <w:tabs>
          <w:tab w:val="left" w:pos="3900"/>
        </w:tabs>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w:t>
      </w:r>
      <w:r>
        <w:rPr>
          <w:rFonts w:hint="eastAsia" w:asci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高处坠落、淹溺</w:t>
      </w:r>
    </w:p>
    <w:p w14:paraId="4D42CA31">
      <w:pPr>
        <w:tabs>
          <w:tab w:val="left" w:pos="3900"/>
        </w:tabs>
        <w:adjustRightInd w:val="0"/>
        <w:snapToGrid w:val="0"/>
        <w:spacing w:line="500" w:lineRule="exact"/>
        <w:ind w:firstLine="560" w:firstLineChars="200"/>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如果有限空间作业距离相对地面高于2m，并缺少可靠的防护、没有系安全带，容易导致高处坠落事故；如果相对地面有积水，在坠</w:t>
      </w:r>
      <w:r>
        <w:rPr>
          <w:rFonts w:hint="default" w:ascii="Times New Roman" w:hAnsi="Times New Roman" w:eastAsia="宋体" w:cs="Times New Roman"/>
          <w:color w:val="000000" w:themeColor="text1"/>
          <w:sz w:val="28"/>
          <w:szCs w:val="28"/>
          <w14:textFill>
            <w14:solidFill>
              <w14:schemeClr w14:val="tx1"/>
            </w14:solidFill>
          </w14:textFill>
        </w:rPr>
        <w:t>落后容易导致淹溺事故。</w:t>
      </w:r>
    </w:p>
    <w:p w14:paraId="26E79A50">
      <w:pPr>
        <w:tabs>
          <w:tab w:val="left" w:pos="3900"/>
        </w:tabs>
        <w:adjustRightInd w:val="0"/>
        <w:snapToGrid w:val="0"/>
        <w:spacing w:line="50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4.坍塌</w:t>
      </w:r>
    </w:p>
    <w:p w14:paraId="1CBE399E">
      <w:pPr>
        <w:tabs>
          <w:tab w:val="left" w:pos="3900"/>
        </w:tabs>
        <w:adjustRightInd w:val="0"/>
        <w:snapToGrid w:val="0"/>
        <w:spacing w:line="500" w:lineRule="exact"/>
        <w:ind w:firstLine="560" w:firstLineChars="200"/>
        <w:rPr>
          <w:rFonts w:hint="default"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脱硫塔、隧道窑等因结构件强度、刚度不足，或质量存在缺陷，有发生坍塌的可能。</w:t>
      </w:r>
    </w:p>
    <w:p w14:paraId="0BC63F59">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55" w:name="_Toc11966"/>
      <w:bookmarkStart w:id="456" w:name="_Toc31820"/>
      <w:bookmarkStart w:id="457" w:name="_Toc21439"/>
      <w:r>
        <w:rPr>
          <w:rFonts w:hint="default" w:ascii="Times New Roman" w:hAnsi="Times New Roman" w:cs="Times New Roman"/>
          <w:color w:val="000000" w:themeColor="text1"/>
          <w:lang w:val="en-US" w:eastAsia="zh-CN"/>
          <w14:textFill>
            <w14:solidFill>
              <w14:schemeClr w14:val="tx1"/>
            </w14:solidFill>
          </w14:textFill>
        </w:rPr>
        <w:t>3.7.2临时用电作业危险、有害因素分析</w:t>
      </w:r>
      <w:bookmarkEnd w:id="455"/>
      <w:bookmarkEnd w:id="456"/>
      <w:bookmarkEnd w:id="457"/>
    </w:p>
    <w:p w14:paraId="201C8A4A">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该项目在施工或检维修过程中会涉及临时用电作业，在此过程中可能因违章操作等原因而引发触电、电气火灾等危险。其引发事故主要原因分析如下：</w:t>
      </w:r>
    </w:p>
    <w:p w14:paraId="67AEE68F">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临时用电线路未设置保护开关，或使用前未检查电气装置和保护设施的可靠性或为接地。</w:t>
      </w:r>
    </w:p>
    <w:p w14:paraId="11A39D8A">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临时用电线路经过有高温、振动、腐蚀、积水等区域时有接头，且未采取相应的保护措施。</w:t>
      </w:r>
    </w:p>
    <w:p w14:paraId="24967156">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临时用电架空线设置不规范，未采用绝缘铜芯线，且未架设在专用电杆或支架上。</w:t>
      </w:r>
    </w:p>
    <w:p w14:paraId="1C2202C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在特别潮湿的场所或罐内等金属设备内作业时，临时照明行灯的电压不符合规范要求，超过12V。</w:t>
      </w:r>
    </w:p>
    <w:p w14:paraId="0F71B70E">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用电结束后，未及时拆除临时用电线路。</w:t>
      </w:r>
    </w:p>
    <w:p w14:paraId="3BDBE990">
      <w:pPr>
        <w:adjustRightInd w:val="0"/>
        <w:snapToGrid w:val="0"/>
        <w:spacing w:line="500" w:lineRule="exact"/>
        <w:ind w:firstLine="592" w:firstLineChars="200"/>
        <w:contextualSpacing/>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6</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作业人员未持证上岗，违章作业等其他原因。</w:t>
      </w:r>
    </w:p>
    <w:p w14:paraId="58800378">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58" w:name="_Toc21942"/>
      <w:bookmarkStart w:id="459" w:name="_Toc14572"/>
      <w:bookmarkStart w:id="460" w:name="_Toc4657"/>
      <w:r>
        <w:rPr>
          <w:rFonts w:hint="default" w:ascii="Times New Roman" w:hAnsi="Times New Roman" w:cs="Times New Roman"/>
          <w:color w:val="000000" w:themeColor="text1"/>
          <w:lang w:val="en-US" w:eastAsia="zh-CN"/>
          <w14:textFill>
            <w14:solidFill>
              <w14:schemeClr w14:val="tx1"/>
            </w14:solidFill>
          </w14:textFill>
        </w:rPr>
        <w:t>3.7.3动火作业危险、有害因素分析</w:t>
      </w:r>
      <w:bookmarkEnd w:id="458"/>
      <w:bookmarkEnd w:id="459"/>
      <w:bookmarkEnd w:id="460"/>
    </w:p>
    <w:p w14:paraId="1296E95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在进行设备检修、安装过程常常需要进行电焊、气焊（割）、电钻、砂轮等进行可能产生火焰、火花和炽热表面的动火作业。该本项目中，动火作业可能造成火灾、其他爆炸、灼烫等危险。</w:t>
      </w:r>
    </w:p>
    <w:p w14:paraId="734C7E4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动火作业未办理动火安全作业证，未对动火作业存在的危险有害因素进行充分辨识，未制定相应处理措施。</w:t>
      </w:r>
    </w:p>
    <w:p w14:paraId="5F2F2F6C">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未配备监护人员或监护人员脱岗。</w:t>
      </w:r>
    </w:p>
    <w:p w14:paraId="4341AA5D">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未设警戒线，未设监护人员，未设安全警示标志。</w:t>
      </w:r>
    </w:p>
    <w:p w14:paraId="567EEAA1">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动火前未清除动火现场及周围的易燃物品，未配备足够适用的消防器材。</w:t>
      </w:r>
    </w:p>
    <w:p w14:paraId="6A9B9AD3">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对于涉及液压油、真空泵油等易燃物、可燃物的管路、容器等在动火前未经过隔离、清洗、置换，取样分析。</w:t>
      </w:r>
    </w:p>
    <w:p w14:paraId="78D6F4D0">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6</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在有限空间动火时，未采取排风措施，有毒烟气聚集导致人员中毒。</w:t>
      </w:r>
    </w:p>
    <w:p w14:paraId="776A83AF">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7</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使用气焊、气割动火作业时，乙炔瓶、氧气瓶使用不规范。</w:t>
      </w:r>
    </w:p>
    <w:p w14:paraId="7E849F29">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8</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人员违章作业等。</w:t>
      </w:r>
    </w:p>
    <w:p w14:paraId="0A09F815">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61" w:name="_Toc6208"/>
      <w:bookmarkStart w:id="462" w:name="_Toc28044"/>
      <w:bookmarkStart w:id="463" w:name="_Toc30904"/>
      <w:r>
        <w:rPr>
          <w:rFonts w:hint="default" w:ascii="Times New Roman" w:hAnsi="Times New Roman" w:cs="Times New Roman"/>
          <w:color w:val="000000" w:themeColor="text1"/>
          <w:lang w:val="en-US" w:eastAsia="zh-CN"/>
          <w14:textFill>
            <w14:solidFill>
              <w14:schemeClr w14:val="tx1"/>
            </w14:solidFill>
          </w14:textFill>
        </w:rPr>
        <w:t>3.7.4高处作业危险、有害因素分析</w:t>
      </w:r>
      <w:bookmarkEnd w:id="461"/>
      <w:bookmarkEnd w:id="462"/>
      <w:bookmarkEnd w:id="463"/>
    </w:p>
    <w:p w14:paraId="2B1F3F10">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该项目在生产、运行过程中需要高处作业时，有可能发生高处坠落、物体打击等危险。其主要引发原因分析如下：</w:t>
      </w:r>
    </w:p>
    <w:p w14:paraId="638985FA">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作业前未办理高处作业安全作业证，未对作业存在的危险有害因素进行充分辨识，未制定相应处理措施。</w:t>
      </w:r>
    </w:p>
    <w:p w14:paraId="6CAC0947">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作业区未划分警戒区，未设监护人员，未设警示标志。</w:t>
      </w:r>
    </w:p>
    <w:p w14:paraId="669364E2">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高处作业脚手架、梯子、防护围栏等质量不良，使用前未经检查。</w:t>
      </w:r>
    </w:p>
    <w:p w14:paraId="57346FC8">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高处作业时作业人员未按要求佩戴安全带（绳）、疲劳过度或酒后作业、未采取安全防护措施和使用可靠的安全保护装置等。</w:t>
      </w:r>
    </w:p>
    <w:p w14:paraId="06981723">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在6级以上大风、大雾天气进行高处作业。</w:t>
      </w:r>
    </w:p>
    <w:p w14:paraId="4123BAF2">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6</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高处作业人员患有职业禁忌，如高血压、心脏病、贫血病、疲劳过度、视力不佳等。</w:t>
      </w:r>
    </w:p>
    <w:p w14:paraId="25EC367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7</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高处作业下方未设防坠物措施，工具、零件、螺丝等坠下造成物体，高空抛物、物件设备摆放不稳，倾覆等易造成物体打击事故。</w:t>
      </w:r>
    </w:p>
    <w:p w14:paraId="01E29080">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464" w:name="_Toc20142"/>
      <w:bookmarkStart w:id="465" w:name="_Toc11531"/>
      <w:bookmarkStart w:id="466" w:name="_Toc12062"/>
      <w:r>
        <w:rPr>
          <w:rFonts w:hint="default" w:ascii="Times New Roman" w:hAnsi="Times New Roman" w:eastAsia="楷体" w:cs="Times New Roman"/>
          <w:color w:val="000000" w:themeColor="text1"/>
          <w14:textFill>
            <w14:solidFill>
              <w14:schemeClr w14:val="tx1"/>
            </w14:solidFill>
          </w14:textFill>
        </w:rPr>
        <w:t>3.8设备检维修过程危险、有害因素分析</w:t>
      </w:r>
      <w:bookmarkEnd w:id="464"/>
      <w:bookmarkEnd w:id="465"/>
      <w:bookmarkEnd w:id="466"/>
    </w:p>
    <w:p w14:paraId="0699225C">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该项目检修、安装过程中可能会引发中毒和窒息、火灾、容器爆炸、高处坠落、物体打击、粉尘危害、触电、机械伤害、灼烫、噪声危害等危险，其主要引发原因如下：</w:t>
      </w:r>
    </w:p>
    <w:p w14:paraId="029B77EB">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1</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在使用乙炔进行气焊（割）作业时，由于乙炔属易燃气体，使用的氧气具有强烈的助燃性，如果控制不好，可能发生火灾爆炸事故。电、气焊（割）作业过程中高温焊渣或熔融的金属火星飞溅到可燃物质上，可能引起火灾事故。</w:t>
      </w:r>
    </w:p>
    <w:p w14:paraId="11776A44">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2</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检修作业平台未设置安全防护栏或防护网或失效；检修作业平台、脚手架强度不符合规范要求；未设置安全警示标识或失效；安排高处作业禁忌者从事高处作业；原有装置、设备强度与该项目装置不匹配，直接利用原有装置作安装、检修平台，并未对其承载能力进行论证；高处作业的临边、洞口等处未设置有效的防高坠措施；高处作业人员未系安全带或失效；作业人员缺乏安全知识；作业人员未执行检修安全操作规程等可能会引发高处坠落危险。</w:t>
      </w:r>
    </w:p>
    <w:p w14:paraId="154C3910">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3</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检修、安装作业时未设置安全防护网或安全警戒线或失效；未设置有效的安全警示标识；检修作业平台、设施及设备倒塌；作业人员未穿戴有效的劳动防护用品例如安全帽；未制定检修作业安全操作规程等可能会引发物体打击危险。</w:t>
      </w:r>
    </w:p>
    <w:p w14:paraId="1FA3572A">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4</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检修、安装过程时未采取有效的降尘措施或失效；作业人员未穿戴劳动防护用品例如戴防尘口罩、穿防尘服等；检修、安装作业前未清除、原有设备、装置中的粉尘等杂物；未制定安全检修方案或未执行；作业人员缺乏安全知识等可能会引发粉尘危害危险。</w:t>
      </w:r>
    </w:p>
    <w:p w14:paraId="16B20F36">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5</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检修过程中的检修用电线路布置混乱；发生漏电；检修作业场所潮湿；检修作业时未按规范要求使用安全电压；检修电工未持证上岗；检修人员缺乏安全知识；检修、安装作业时未将原有装置涉及的电气线路、电气设备理顺、未切断电源；检修作业人员未穿戴劳动防护用品或失效；检修作业人员缺乏安全知识等可能会引发触电危险。</w:t>
      </w:r>
    </w:p>
    <w:p w14:paraId="3670165D">
      <w:pPr>
        <w:adjustRightInd w:val="0"/>
        <w:snapToGrid w:val="0"/>
        <w:spacing w:line="500" w:lineRule="exact"/>
        <w:ind w:firstLine="592" w:firstLineChars="200"/>
        <w:contextualSpacing/>
        <w:rPr>
          <w:rFonts w:hint="default" w:ascii="Times New Roman" w:hAnsi="Times New Roman" w:cs="Times New Roman"/>
          <w:color w:val="000000" w:themeColor="text1"/>
          <w:spacing w:val="8"/>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6</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检修过程中使用的机械、转动设施及设备设计、安装、施工缺陷；未设置机械防护装置或失效；其强度不符合规范要求；未定期进行维护、保养；功能与实际需求不匹配等可能会引发机械伤害危险。</w:t>
      </w:r>
    </w:p>
    <w:p w14:paraId="3E2BB081">
      <w:pPr>
        <w:adjustRightInd w:val="0"/>
        <w:snapToGrid w:val="0"/>
        <w:spacing w:line="500" w:lineRule="exact"/>
        <w:ind w:firstLine="592" w:firstLineChars="200"/>
        <w:contextualSpacing/>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color w:val="000000" w:themeColor="text1"/>
          <w:spacing w:val="8"/>
          <w:sz w:val="28"/>
          <w:szCs w:val="28"/>
          <w14:textFill>
            <w14:solidFill>
              <w14:schemeClr w14:val="tx1"/>
            </w14:solidFill>
          </w14:textFill>
        </w:rPr>
        <w:t>7</w:t>
      </w:r>
      <w:r>
        <w:rPr>
          <w:rFonts w:hint="eastAsia" w:ascii="Times New Roman" w:cs="Times New Roman"/>
          <w:color w:val="000000" w:themeColor="text1"/>
          <w:spacing w:val="8"/>
          <w:sz w:val="28"/>
          <w:szCs w:val="28"/>
          <w:lang w:eastAsia="zh-CN"/>
          <w14:textFill>
            <w14:solidFill>
              <w14:schemeClr w14:val="tx1"/>
            </w14:solidFill>
          </w14:textFill>
        </w:rPr>
        <w:t>.</w:t>
      </w:r>
      <w:r>
        <w:rPr>
          <w:rFonts w:hint="default" w:ascii="Times New Roman" w:hAnsi="Times New Roman" w:cs="Times New Roman"/>
          <w:color w:val="000000" w:themeColor="text1"/>
          <w:spacing w:val="8"/>
          <w:sz w:val="28"/>
          <w:szCs w:val="28"/>
          <w14:textFill>
            <w14:solidFill>
              <w14:schemeClr w14:val="tx1"/>
            </w14:solidFill>
          </w14:textFill>
        </w:rPr>
        <w:t>检修、安装作业时，未对原有设施、装置采取有效的防护措施或失效；未考虑原有装置、设施强度直接搭建安装平台；作业人员缺乏安全知识等可能会毁坏原有建构筑物。</w:t>
      </w:r>
    </w:p>
    <w:p w14:paraId="34C60578">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467" w:name="_Toc15256"/>
      <w:bookmarkStart w:id="468" w:name="_Toc30972"/>
      <w:r>
        <w:rPr>
          <w:rFonts w:hint="default" w:ascii="Times New Roman" w:hAnsi="Times New Roman" w:eastAsia="楷体" w:cs="Times New Roman"/>
          <w:color w:val="000000" w:themeColor="text1"/>
          <w14:textFill>
            <w14:solidFill>
              <w14:schemeClr w14:val="tx1"/>
            </w14:solidFill>
          </w14:textFill>
        </w:rPr>
        <w:t>3.9安全管理危险性分析</w:t>
      </w:r>
      <w:bookmarkEnd w:id="450"/>
      <w:bookmarkEnd w:id="451"/>
      <w:bookmarkEnd w:id="467"/>
      <w:bookmarkEnd w:id="468"/>
    </w:p>
    <w:p w14:paraId="397AC897">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69" w:name="_Toc331963309"/>
      <w:bookmarkStart w:id="470" w:name="_Toc30001403"/>
      <w:bookmarkStart w:id="471" w:name="_Toc61474426"/>
      <w:bookmarkStart w:id="472" w:name="_Toc22418"/>
      <w:bookmarkStart w:id="473" w:name="_Toc17960"/>
      <w:bookmarkStart w:id="474" w:name="_Toc313453508"/>
      <w:bookmarkStart w:id="475" w:name="_Toc6549"/>
      <w:bookmarkStart w:id="476" w:name="_Toc278151404"/>
      <w:bookmarkStart w:id="477" w:name="_Toc201767293"/>
      <w:bookmarkStart w:id="478" w:name="_Toc202575692"/>
      <w:r>
        <w:rPr>
          <w:rFonts w:hint="default" w:ascii="Times New Roman" w:hAnsi="Times New Roman" w:cs="Times New Roman"/>
          <w:color w:val="000000" w:themeColor="text1"/>
          <w:lang w:val="en-US" w:eastAsia="zh-CN"/>
          <w14:textFill>
            <w14:solidFill>
              <w14:schemeClr w14:val="tx1"/>
            </w14:solidFill>
          </w14:textFill>
        </w:rPr>
        <w:t>3.9.1安全管理组织体系方面危险性分析</w:t>
      </w:r>
      <w:bookmarkEnd w:id="469"/>
      <w:bookmarkEnd w:id="470"/>
      <w:bookmarkEnd w:id="471"/>
      <w:bookmarkEnd w:id="472"/>
      <w:bookmarkEnd w:id="473"/>
      <w:bookmarkEnd w:id="474"/>
      <w:bookmarkEnd w:id="475"/>
    </w:p>
    <w:p w14:paraId="66563E7E">
      <w:pPr>
        <w:tabs>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安全管理组织体系是企业安全生产重要保障，安全生产管理的分级、协调等管理缺陷，可能因为安全管理组织体系缺陷引发事故，或事故进一步扩大。</w:t>
      </w:r>
    </w:p>
    <w:p w14:paraId="6E720095">
      <w:pPr>
        <w:tabs>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1</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未按相关法律法规设置安全管理机构或配置安全管理人员，安全管理人员未参加安全培训，风险评价、事故调查分析、应急处理、安全检测和试验研究、系统安全评价能力不足；</w:t>
      </w:r>
    </w:p>
    <w:p w14:paraId="4336C136">
      <w:pPr>
        <w:tabs>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2</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未定期召开的安全领导小组会议内容，未对企业安全工作进行具体、有效的落实；</w:t>
      </w:r>
    </w:p>
    <w:p w14:paraId="5FB810FA">
      <w:pPr>
        <w:tabs>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3</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对从业人员的安全教育培训不足，如安全管理人员和基层操作人员未经过培训考核或培训学时不足，不具备相应的安全生产知识和上岗能力；员工素质低下，知识陈旧，观念落后，致使人员安全意识差、不安全行为数量增多；</w:t>
      </w:r>
    </w:p>
    <w:p w14:paraId="0C3C9155">
      <w:pPr>
        <w:tabs>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4</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忽视对临时用工、外来参观、学习人员的安全教育培训等；</w:t>
      </w:r>
    </w:p>
    <w:p w14:paraId="1EBE2AEE">
      <w:pPr>
        <w:tabs>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5</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安全管理人员未有效履行安全管理职责，发现问题，置之不理；</w:t>
      </w:r>
    </w:p>
    <w:p w14:paraId="1CF36965">
      <w:pPr>
        <w:tabs>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6</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人员职权交叉，造成管理混乱；</w:t>
      </w:r>
    </w:p>
    <w:p w14:paraId="1A2076B5">
      <w:pPr>
        <w:tabs>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7</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职工日常活动随意，下班后（夜间）随意进入生产区域等；</w:t>
      </w:r>
    </w:p>
    <w:p w14:paraId="5615CA8A">
      <w:pPr>
        <w:tabs>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8</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未与相关方签订安全管理协议，或安全管理协议中未明确双方安全管理职责，权利和义务等内容，造成相关方管理混乱。</w:t>
      </w:r>
    </w:p>
    <w:p w14:paraId="13233242">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79" w:name="_Toc4485"/>
      <w:bookmarkStart w:id="480" w:name="_Toc6528"/>
      <w:bookmarkStart w:id="481" w:name="_Toc61474427"/>
      <w:bookmarkStart w:id="482" w:name="_Toc313453509"/>
      <w:bookmarkStart w:id="483" w:name="_Toc331963310"/>
      <w:bookmarkStart w:id="484" w:name="_Toc30001404"/>
      <w:bookmarkStart w:id="485" w:name="_Toc3969"/>
      <w:r>
        <w:rPr>
          <w:rFonts w:hint="default" w:ascii="Times New Roman" w:hAnsi="Times New Roman" w:cs="Times New Roman"/>
          <w:color w:val="000000" w:themeColor="text1"/>
          <w:lang w:val="en-US" w:eastAsia="zh-CN"/>
          <w14:textFill>
            <w14:solidFill>
              <w14:schemeClr w14:val="tx1"/>
            </w14:solidFill>
          </w14:textFill>
        </w:rPr>
        <w:t>3.9.2安全管理制度方面危险性分析</w:t>
      </w:r>
      <w:bookmarkEnd w:id="479"/>
      <w:bookmarkEnd w:id="480"/>
      <w:bookmarkEnd w:id="481"/>
      <w:bookmarkEnd w:id="482"/>
      <w:bookmarkEnd w:id="483"/>
      <w:bookmarkEnd w:id="484"/>
      <w:bookmarkEnd w:id="485"/>
    </w:p>
    <w:p w14:paraId="1AEB1849">
      <w:pPr>
        <w:tabs>
          <w:tab w:val="left" w:pos="945"/>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安全管理制度是为加强企业生产工作的劳动保护、改善劳动条件，保护劳动者在生产过程中的安全和健康，促进企业的发展，根据有关劳动保护的法令、法规等有关规定，结合企业的实际情况制订的规定；可能因为安全管理制度不健全，引发事故，其主要原因有：</w:t>
      </w:r>
    </w:p>
    <w:p w14:paraId="04CD868F">
      <w:pPr>
        <w:tabs>
          <w:tab w:val="left" w:pos="945"/>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1</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未根据自身特点制定、完善安全生产责任制、安全生产管理制度，造成工作中无章可循，生产次序混乱；</w:t>
      </w:r>
    </w:p>
    <w:p w14:paraId="7CD5ADE5">
      <w:pPr>
        <w:tabs>
          <w:tab w:val="left" w:pos="945"/>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2</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各岗位或职能部门职责不明确；安全生产责任制未落实到每个环节、每个岗位、每个人；</w:t>
      </w:r>
    </w:p>
    <w:p w14:paraId="6688E591">
      <w:pPr>
        <w:tabs>
          <w:tab w:val="left" w:pos="945"/>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3</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不同的安全规章管理制度之间缺少相互配合和促进机制；</w:t>
      </w:r>
    </w:p>
    <w:p w14:paraId="50465DF8">
      <w:pPr>
        <w:tabs>
          <w:tab w:val="left" w:pos="945"/>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4</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安全规章管理制度流于形式，内容不完善、不全面；</w:t>
      </w:r>
    </w:p>
    <w:p w14:paraId="7367A274">
      <w:pPr>
        <w:tabs>
          <w:tab w:val="left" w:pos="945"/>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5</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安全规章管理制度要求与实际工作脱节等；</w:t>
      </w:r>
    </w:p>
    <w:p w14:paraId="497640B2">
      <w:pPr>
        <w:tabs>
          <w:tab w:val="left" w:pos="945"/>
          <w:tab w:val="left" w:pos="3900"/>
        </w:tabs>
        <w:adjustRightInd w:val="0"/>
        <w:snapToGrid w:val="0"/>
        <w:spacing w:line="500" w:lineRule="exact"/>
        <w:ind w:firstLine="573"/>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6</w:t>
      </w:r>
      <w:r>
        <w:rPr>
          <w:rFonts w:hint="eastAsia" w:ascii="Times New Roman" w:cs="Times New Roman"/>
          <w:snapToGrid w:val="0"/>
          <w:color w:val="000000" w:themeColor="text1"/>
          <w:kern w:val="0"/>
          <w:sz w:val="28"/>
          <w:szCs w:val="28"/>
          <w:lang w:eastAsia="zh-CN"/>
          <w14:textFill>
            <w14:solidFill>
              <w14:schemeClr w14:val="tx1"/>
            </w14:solidFill>
          </w14:textFill>
        </w:rPr>
        <w:t>.</w:t>
      </w:r>
      <w:r>
        <w:rPr>
          <w:rFonts w:hint="default" w:ascii="Times New Roman" w:hAnsi="Times New Roman" w:cs="Times New Roman"/>
          <w:snapToGrid w:val="0"/>
          <w:color w:val="000000" w:themeColor="text1"/>
          <w:kern w:val="0"/>
          <w:sz w:val="28"/>
          <w:szCs w:val="28"/>
          <w14:textFill>
            <w14:solidFill>
              <w14:schemeClr w14:val="tx1"/>
            </w14:solidFill>
          </w14:textFill>
        </w:rPr>
        <w:t>特种作业人员未经培训，未掌握专业操作知识进行特种作业等；</w:t>
      </w:r>
    </w:p>
    <w:p w14:paraId="151A8457">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7</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作业现场周边有其他企业人员来往，可能由于管理不到位，导致车辆伤害、机械伤害、触电等事故。</w:t>
      </w:r>
    </w:p>
    <w:p w14:paraId="53083620">
      <w:pPr>
        <w:tabs>
          <w:tab w:val="left" w:pos="945"/>
          <w:tab w:val="left" w:pos="3900"/>
        </w:tabs>
        <w:adjustRightInd w:val="0"/>
        <w:snapToGrid w:val="0"/>
        <w:spacing w:line="500" w:lineRule="exact"/>
        <w:ind w:firstLine="573"/>
        <w:rPr>
          <w:rFonts w:hint="default"/>
          <w:b/>
          <w:bCs/>
          <w:color w:val="000000" w:themeColor="text1"/>
          <w14:textFill>
            <w14:solidFill>
              <w14:schemeClr w14:val="tx1"/>
            </w14:solidFill>
          </w14:textFill>
        </w:rPr>
      </w:pPr>
      <w:r>
        <w:rPr>
          <w:rFonts w:hint="eastAsia" w:hAnsi="宋体" w:cs="宋体"/>
          <w:snapToGrid w:val="0"/>
          <w:color w:val="000000" w:themeColor="text1"/>
          <w:kern w:val="0"/>
          <w:sz w:val="28"/>
          <w:szCs w:val="28"/>
          <w:lang w:val="en-US" w:eastAsia="zh-CN"/>
          <w14:textFill>
            <w14:solidFill>
              <w14:schemeClr w14:val="tx1"/>
            </w14:solidFill>
          </w14:textFill>
        </w:rPr>
        <w:t>8.</w:t>
      </w:r>
      <w:r>
        <w:rPr>
          <w:rFonts w:hint="default" w:ascii="宋体" w:hAnsi="宋体" w:eastAsia="宋体" w:cs="宋体"/>
          <w:snapToGrid w:val="0"/>
          <w:color w:val="000000" w:themeColor="text1"/>
          <w:kern w:val="0"/>
          <w:sz w:val="28"/>
          <w:szCs w:val="28"/>
          <w:lang w:val="zh-CN"/>
          <w14:textFill>
            <w14:solidFill>
              <w14:schemeClr w14:val="tx1"/>
            </w14:solidFill>
          </w14:textFill>
        </w:rPr>
        <w:t>根据《工贸企业有限空间作业安全规定》（2023年11月6日应急管理部令第13号公布，自2024年1月1日起施行）的要求，不断完善有限空间安全管理。</w:t>
      </w:r>
    </w:p>
    <w:p w14:paraId="06711864">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86" w:name="_Toc313453510"/>
      <w:bookmarkStart w:id="487" w:name="_Toc20876"/>
      <w:bookmarkStart w:id="488" w:name="_Toc30001405"/>
      <w:bookmarkStart w:id="489" w:name="_Toc26397"/>
      <w:bookmarkStart w:id="490" w:name="_Toc61474428"/>
      <w:bookmarkStart w:id="491" w:name="_Toc331963311"/>
      <w:bookmarkStart w:id="492" w:name="_Toc23502"/>
      <w:r>
        <w:rPr>
          <w:rFonts w:hint="default" w:ascii="Times New Roman" w:hAnsi="Times New Roman" w:cs="Times New Roman"/>
          <w:color w:val="000000" w:themeColor="text1"/>
          <w:lang w:val="en-US" w:eastAsia="zh-CN"/>
          <w14:textFill>
            <w14:solidFill>
              <w14:schemeClr w14:val="tx1"/>
            </w14:solidFill>
          </w14:textFill>
        </w:rPr>
        <w:t>3.9.3事故应急方面危险性分析</w:t>
      </w:r>
      <w:bookmarkEnd w:id="486"/>
      <w:bookmarkEnd w:id="487"/>
      <w:bookmarkEnd w:id="488"/>
      <w:bookmarkEnd w:id="489"/>
      <w:bookmarkEnd w:id="490"/>
      <w:bookmarkEnd w:id="491"/>
      <w:bookmarkEnd w:id="492"/>
    </w:p>
    <w:p w14:paraId="03C91671">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事故应急是针对可能发生的重大事故，为保证迅速、有效、有序地开展应急救援行动，以便预防、降低事故损失，可能因为事故应急措施不当等引发事故，其主要原因有：</w:t>
      </w:r>
    </w:p>
    <w:p w14:paraId="49D571C5">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1</w:t>
      </w:r>
      <w:r>
        <w:rPr>
          <w:rFonts w:hint="eastAsia" w:hAnsi="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企业未编制生产安全事故应急预案，或编制的预案未按照相关要求邀请相关专家组织评审、备案，内容不满足《生产经营单位生产安全事故应急预案编制导则》（GB/T 29639-2020）内容要求；</w:t>
      </w:r>
    </w:p>
    <w:p w14:paraId="1E3C3446">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2</w:t>
      </w:r>
      <w:r>
        <w:rPr>
          <w:rFonts w:hint="eastAsia" w:hAnsi="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应急救援时未按照事故应急原则进行处置；</w:t>
      </w:r>
    </w:p>
    <w:p w14:paraId="02826741">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3</w:t>
      </w:r>
      <w:r>
        <w:rPr>
          <w:rFonts w:hint="eastAsia" w:hAnsi="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救援人员不服从指挥；</w:t>
      </w:r>
    </w:p>
    <w:p w14:paraId="54FE304C">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4</w:t>
      </w:r>
      <w:r>
        <w:rPr>
          <w:rFonts w:hint="eastAsia" w:hAnsi="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事故判断不准确，导致采取的应急救援行动和战术决策不准确；</w:t>
      </w:r>
    </w:p>
    <w:p w14:paraId="0A39541E">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5</w:t>
      </w:r>
      <w:r>
        <w:rPr>
          <w:rFonts w:hint="eastAsia" w:hAnsi="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未能配备足够、有效的应急救援物资或物资维护保养不力失效；</w:t>
      </w:r>
    </w:p>
    <w:p w14:paraId="74E1E658">
      <w:pPr>
        <w:adjustRightInd w:val="0"/>
        <w:snapToGrid w:val="0"/>
        <w:spacing w:line="500" w:lineRule="exact"/>
        <w:ind w:firstLine="560" w:firstLineChars="20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6</w:t>
      </w:r>
      <w:r>
        <w:rPr>
          <w:rFonts w:hint="eastAsia" w:hAnsi="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未能按规定对应急预案进行定期演练，未进行定期修订或预案可操作性不强。</w:t>
      </w:r>
    </w:p>
    <w:p w14:paraId="5DB3152E">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493" w:name="_Toc3339"/>
      <w:bookmarkStart w:id="494" w:name="_Toc12699"/>
      <w:bookmarkStart w:id="495" w:name="_Toc30001423"/>
      <w:bookmarkStart w:id="496" w:name="_Toc61474446"/>
      <w:r>
        <w:rPr>
          <w:rFonts w:hint="default" w:ascii="Times New Roman" w:hAnsi="Times New Roman" w:eastAsia="楷体" w:cs="Times New Roman"/>
          <w:color w:val="000000" w:themeColor="text1"/>
          <w14:textFill>
            <w14:solidFill>
              <w14:schemeClr w14:val="tx1"/>
            </w14:solidFill>
          </w14:textFill>
        </w:rPr>
        <w:t>3.10重大危险源辨识</w:t>
      </w:r>
      <w:bookmarkEnd w:id="476"/>
      <w:bookmarkEnd w:id="477"/>
      <w:bookmarkEnd w:id="478"/>
      <w:bookmarkEnd w:id="493"/>
      <w:bookmarkEnd w:id="494"/>
      <w:bookmarkEnd w:id="495"/>
      <w:bookmarkEnd w:id="496"/>
    </w:p>
    <w:p w14:paraId="5B00F2D0">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497" w:name="_Toc24138"/>
      <w:bookmarkStart w:id="498" w:name="_Toc8092"/>
      <w:bookmarkStart w:id="499" w:name="_Toc121910244"/>
      <w:bookmarkStart w:id="500" w:name="_Toc23947"/>
      <w:bookmarkStart w:id="501" w:name="_Toc61474447"/>
      <w:bookmarkStart w:id="502" w:name="_Toc30001424"/>
      <w:bookmarkStart w:id="503" w:name="_Toc172021604"/>
      <w:r>
        <w:rPr>
          <w:rFonts w:hint="default" w:ascii="Times New Roman" w:hAnsi="Times New Roman" w:cs="Times New Roman"/>
          <w:color w:val="000000" w:themeColor="text1"/>
          <w:lang w:val="en-US" w:eastAsia="zh-CN"/>
          <w14:textFill>
            <w14:solidFill>
              <w14:schemeClr w14:val="tx1"/>
            </w14:solidFill>
          </w14:textFill>
        </w:rPr>
        <w:t>3.10.1方法介绍</w:t>
      </w:r>
      <w:bookmarkEnd w:id="497"/>
      <w:bookmarkEnd w:id="498"/>
      <w:bookmarkEnd w:id="499"/>
      <w:bookmarkEnd w:id="500"/>
      <w:bookmarkEnd w:id="501"/>
      <w:bookmarkEnd w:id="502"/>
      <w:bookmarkEnd w:id="503"/>
    </w:p>
    <w:p w14:paraId="196B8A69">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危险化学品重大危险源是指“长期地或临时地生产、储存、使用和经营危险化学品，且危险化学品的数量等于或超过临界量的单元。”。</w:t>
      </w:r>
    </w:p>
    <w:p w14:paraId="621E755C">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注：1）危险化学品——具有毒害、腐蚀爆炸、燃烧、助燃等性质，对人体、设施、环境具有危害的剧毒化学品和其他化学品。</w:t>
      </w:r>
    </w:p>
    <w:p w14:paraId="78DB7FE4">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2）临界量——某种或某类危险化学品构成重大危险源所规定的最小数量。</w:t>
      </w:r>
    </w:p>
    <w:p w14:paraId="1BE3C5B4">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3）生产单元——危险化学品的生产、加工及使用等的装置及设施,当装置及设施之间有切断阀时，以切断阀作为分隔界限划分为独立的单元。</w:t>
      </w:r>
    </w:p>
    <w:p w14:paraId="2A1F51F7">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4）储存单元——用于储存危险化学品的储罐或仓库组成的相对独立的区域,</w:t>
      </w:r>
      <w:r>
        <w:rPr>
          <w:rFonts w:hint="eastAsia" w:hAnsi="宋体" w:cs="宋体"/>
          <w:color w:val="000000" w:themeColor="text1"/>
          <w:sz w:val="28"/>
          <w:szCs w:val="28"/>
          <w:lang w:val="en-US" w:eastAsia="zh-CN"/>
          <w14:textFill>
            <w14:solidFill>
              <w14:schemeClr w14:val="tx1"/>
            </w14:solidFill>
          </w14:textFill>
        </w:rPr>
        <w:t>储</w:t>
      </w:r>
      <w:r>
        <w:rPr>
          <w:rFonts w:hint="eastAsia" w:ascii="宋体" w:hAnsi="宋体" w:eastAsia="宋体" w:cs="宋体"/>
          <w:color w:val="000000" w:themeColor="text1"/>
          <w:sz w:val="28"/>
          <w:szCs w:val="28"/>
          <w14:textFill>
            <w14:solidFill>
              <w14:schemeClr w14:val="tx1"/>
            </w14:solidFill>
          </w14:textFill>
        </w:rPr>
        <w:t>罐区以罐区防火堤为界限划分为独立的单元，仓库以独立库房（独立建筑物）为界限划分为独立的单元。</w:t>
      </w:r>
    </w:p>
    <w:p w14:paraId="568F1F12">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按照《危险化学品重大危险源辨识》（GB18218-2018）规定，危险化学品重大危险源是指长期地或临时地生产、储存、使用或经营危险化学品，且危险化学品的数量等于或超过临界量的单元。</w:t>
      </w:r>
    </w:p>
    <w:p w14:paraId="63EDF4F5">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生产单元、储存单元内存在危险化学品的数量等于或超过规定的临界量，即被定为重大危险源。单元内存在的危险化学品的数量根据危险化学品种类的多少区分为以下两种情况：</w:t>
      </w:r>
    </w:p>
    <w:p w14:paraId="662C58A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1）生产单元、储存单元内存在的危险化学品为单一品种时，该危险化学品的数量即为单元内危险化学品的总量，若等于或超过相应的临界量，则定为重大危险源。</w:t>
      </w:r>
    </w:p>
    <w:p w14:paraId="6A40F7FA">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2）生产单元、储存单元内存在的危险化学品为多品种时，按式（1）计算，若满足式（1），则定为重大危险源：</w:t>
      </w:r>
    </w:p>
    <w:p w14:paraId="0B15D9FD">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S=q1/Q1+q2/Q2+……+qn/Qn≥1   ……………………（1）        </w:t>
      </w:r>
    </w:p>
    <w:p w14:paraId="1452192D">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式中：S ——辨识指标；</w:t>
      </w:r>
    </w:p>
    <w:p w14:paraId="30A687F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q1，q2……qn——每种危险化学品的实际存在量，单位为吨（t）；</w:t>
      </w:r>
    </w:p>
    <w:p w14:paraId="0AA41600">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Q1，Q2……Qn——与每种危险化学品相对应的临界量，单位为吨。</w:t>
      </w:r>
    </w:p>
    <w:p w14:paraId="3761CCA1">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cs="Times New Roman"/>
          <w:color w:val="000000" w:themeColor="text1"/>
          <w:lang w:val="en-US" w:eastAsia="zh-CN"/>
          <w14:textFill>
            <w14:solidFill>
              <w14:schemeClr w14:val="tx1"/>
            </w14:solidFill>
          </w14:textFill>
        </w:rPr>
      </w:pPr>
      <w:bookmarkStart w:id="504" w:name="_Toc121910245"/>
      <w:bookmarkStart w:id="505" w:name="_Toc172021605"/>
      <w:bookmarkStart w:id="506" w:name="_Toc65029557"/>
      <w:bookmarkStart w:id="507" w:name="_Toc65291067"/>
      <w:bookmarkStart w:id="508" w:name="_Toc30001425"/>
      <w:bookmarkStart w:id="509" w:name="_Toc1879"/>
      <w:bookmarkStart w:id="510" w:name="_Toc61474448"/>
      <w:bookmarkStart w:id="511" w:name="_Toc31486"/>
      <w:bookmarkStart w:id="512" w:name="_Toc2271"/>
      <w:r>
        <w:rPr>
          <w:rFonts w:hint="default" w:ascii="Times New Roman" w:hAnsi="Times New Roman" w:cs="Times New Roman"/>
          <w:color w:val="000000" w:themeColor="text1"/>
          <w:lang w:val="en-US" w:eastAsia="zh-CN"/>
          <w14:textFill>
            <w14:solidFill>
              <w14:schemeClr w14:val="tx1"/>
            </w14:solidFill>
          </w14:textFill>
        </w:rPr>
        <w:t>3.10.2辨识</w:t>
      </w:r>
      <w:bookmarkEnd w:id="504"/>
      <w:bookmarkEnd w:id="505"/>
      <w:bookmarkEnd w:id="506"/>
      <w:bookmarkEnd w:id="507"/>
      <w:r>
        <w:rPr>
          <w:rFonts w:hint="default" w:ascii="Times New Roman" w:hAnsi="Times New Roman" w:cs="Times New Roman"/>
          <w:color w:val="000000" w:themeColor="text1"/>
          <w:lang w:val="en-US" w:eastAsia="zh-CN"/>
          <w14:textFill>
            <w14:solidFill>
              <w14:schemeClr w14:val="tx1"/>
            </w14:solidFill>
          </w14:textFill>
        </w:rPr>
        <w:t>过程及结果</w:t>
      </w:r>
      <w:bookmarkEnd w:id="508"/>
      <w:bookmarkEnd w:id="509"/>
      <w:bookmarkEnd w:id="510"/>
      <w:bookmarkEnd w:id="511"/>
      <w:bookmarkEnd w:id="512"/>
    </w:p>
    <w:p w14:paraId="5C72F609">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bookmarkStart w:id="513" w:name="_Toc360019842"/>
      <w:r>
        <w:rPr>
          <w:rFonts w:hint="default" w:ascii="Times New Roman" w:hAnsi="Times New Roman" w:eastAsia="宋体" w:cs="Times New Roman"/>
          <w:color w:val="000000" w:themeColor="text1"/>
          <w:kern w:val="0"/>
          <w14:textFill>
            <w14:solidFill>
              <w14:schemeClr w14:val="tx1"/>
            </w14:solidFill>
          </w14:textFill>
        </w:rPr>
        <w:t>3.10.2.1危险化学品重大危险源辨识</w:t>
      </w:r>
      <w:bookmarkEnd w:id="513"/>
    </w:p>
    <w:p w14:paraId="76EEF6B4">
      <w:pPr>
        <w:adjustRightInd w:val="0"/>
        <w:snapToGrid w:val="0"/>
        <w:spacing w:line="500" w:lineRule="exact"/>
        <w:ind w:firstLine="560" w:firstLineChars="200"/>
        <w:contextualSpacing/>
        <w:rPr>
          <w:rFonts w:hint="eastAsia" w:ascii="Times New Roman" w:hAnsi="Times New Roman" w:eastAsia="宋体" w:cs="Times New Roman"/>
          <w:bCs/>
          <w:color w:val="000000" w:themeColor="text1"/>
          <w:sz w:val="28"/>
          <w:szCs w:val="28"/>
          <w:lang w:val="en-US" w:eastAsia="zh-CN"/>
          <w14:textFill>
            <w14:solidFill>
              <w14:schemeClr w14:val="tx1"/>
            </w14:solidFill>
          </w14:textFill>
        </w:rPr>
      </w:pPr>
      <w:r>
        <w:rPr>
          <w:rFonts w:hint="default" w:ascii="Times New Roman" w:hAnsi="Times New Roman" w:cs="Times New Roman"/>
          <w:bCs/>
          <w:color w:val="000000" w:themeColor="text1"/>
          <w:sz w:val="28"/>
          <w:szCs w:val="28"/>
          <w14:textFill>
            <w14:solidFill>
              <w14:schemeClr w14:val="tx1"/>
            </w14:solidFill>
          </w14:textFill>
        </w:rPr>
        <w:t>本项目涉及化学品主要是</w:t>
      </w:r>
      <w:r>
        <w:rPr>
          <w:rFonts w:hint="default" w:ascii="Times New Roman" w:hAnsi="Times New Roman" w:cs="Times New Roman"/>
          <w:bCs/>
          <w:color w:val="000000" w:themeColor="text1"/>
          <w:spacing w:val="8"/>
          <w:sz w:val="28"/>
          <w:szCs w:val="28"/>
          <w14:textFill>
            <w14:solidFill>
              <w14:schemeClr w14:val="tx1"/>
            </w14:solidFill>
          </w14:textFill>
        </w:rPr>
        <w:t>氧（压缩的）、乙炔、柴油、烟气中含有的一氧化碳和二氧化硫</w:t>
      </w:r>
      <w:r>
        <w:rPr>
          <w:rFonts w:hint="default" w:ascii="Times New Roman" w:hAnsi="Times New Roman" w:cs="Times New Roman"/>
          <w:bCs/>
          <w:color w:val="000000" w:themeColor="text1"/>
          <w:sz w:val="28"/>
          <w:szCs w:val="28"/>
          <w14:textFill>
            <w14:solidFill>
              <w14:schemeClr w14:val="tx1"/>
            </w14:solidFill>
          </w14:textFill>
        </w:rPr>
        <w:t>。检修过程中的氧气</w:t>
      </w:r>
      <w:r>
        <w:rPr>
          <w:rFonts w:hint="default" w:ascii="Times New Roman" w:hAnsi="Times New Roman" w:cs="Times New Roman"/>
          <w:color w:val="000000" w:themeColor="text1"/>
          <w:sz w:val="28"/>
          <w:szCs w:val="28"/>
          <w14:textFill>
            <w14:solidFill>
              <w14:schemeClr w14:val="tx1"/>
            </w14:solidFill>
          </w14:textFill>
        </w:rPr>
        <w:t>储存数量为</w:t>
      </w:r>
      <w:r>
        <w:rPr>
          <w:rFonts w:hint="eastAsia" w:ascii="Times New Roman" w:hAnsi="Times New Roman" w:cs="Times New Roman"/>
          <w:bCs/>
          <w:color w:val="000000" w:themeColor="text1"/>
          <w:sz w:val="28"/>
          <w:szCs w:val="28"/>
          <w:lang w:val="en-US" w:eastAsia="zh-CN"/>
          <w14:textFill>
            <w14:solidFill>
              <w14:schemeClr w14:val="tx1"/>
            </w14:solidFill>
          </w14:textFill>
        </w:rPr>
        <w:t>4</w:t>
      </w:r>
      <w:r>
        <w:rPr>
          <w:rFonts w:hint="default" w:ascii="Times New Roman" w:hAnsi="Times New Roman" w:cs="Times New Roman"/>
          <w:bCs/>
          <w:color w:val="000000" w:themeColor="text1"/>
          <w:sz w:val="28"/>
          <w:szCs w:val="28"/>
          <w14:textFill>
            <w14:solidFill>
              <w14:schemeClr w14:val="tx1"/>
            </w14:solidFill>
          </w14:textFill>
        </w:rPr>
        <w:t>瓶（</w:t>
      </w:r>
      <w:r>
        <w:rPr>
          <w:rFonts w:hint="eastAsia" w:ascii="Times New Roman" w:hAnsi="Times New Roman" w:cs="Times New Roman"/>
          <w:bCs/>
          <w:color w:val="000000" w:themeColor="text1"/>
          <w:sz w:val="28"/>
          <w:szCs w:val="28"/>
          <w:lang w:val="en-US" w:eastAsia="zh-CN"/>
          <w14:textFill>
            <w14:solidFill>
              <w14:schemeClr w14:val="tx1"/>
            </w14:solidFill>
          </w14:textFill>
        </w:rPr>
        <w:t>每瓶4kg</w:t>
      </w:r>
      <w:r>
        <w:rPr>
          <w:rFonts w:hint="default" w:ascii="Times New Roman" w:hAnsi="Times New Roman" w:cs="Times New Roman"/>
          <w:bCs/>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乙炔储存数量为</w:t>
      </w:r>
      <w:r>
        <w:rPr>
          <w:rFonts w:hint="default" w:ascii="Times New Roman" w:hAnsi="Times New Roman" w:cs="Times New Roman"/>
          <w:bCs/>
          <w:color w:val="000000" w:themeColor="text1"/>
          <w:sz w:val="28"/>
          <w:szCs w:val="28"/>
          <w14:textFill>
            <w14:solidFill>
              <w14:schemeClr w14:val="tx1"/>
            </w14:solidFill>
          </w14:textFill>
        </w:rPr>
        <w:t>2瓶（</w:t>
      </w:r>
      <w:r>
        <w:rPr>
          <w:rFonts w:hint="eastAsia" w:ascii="Times New Roman" w:hAnsi="Times New Roman" w:cs="Times New Roman"/>
          <w:bCs/>
          <w:color w:val="000000" w:themeColor="text1"/>
          <w:sz w:val="28"/>
          <w:szCs w:val="28"/>
          <w:lang w:val="en-US" w:eastAsia="zh-CN"/>
          <w14:textFill>
            <w14:solidFill>
              <w14:schemeClr w14:val="tx1"/>
            </w14:solidFill>
          </w14:textFill>
        </w:rPr>
        <w:t>每瓶7kg</w:t>
      </w:r>
      <w:r>
        <w:rPr>
          <w:rFonts w:hint="default" w:ascii="Times New Roman" w:hAnsi="Times New Roman" w:cs="Times New Roman"/>
          <w:bCs/>
          <w:color w:val="000000" w:themeColor="text1"/>
          <w:sz w:val="28"/>
          <w:szCs w:val="28"/>
          <w14:textFill>
            <w14:solidFill>
              <w14:schemeClr w14:val="tx1"/>
            </w14:solidFill>
          </w14:textFill>
        </w:rPr>
        <w:t>）</w:t>
      </w:r>
      <w:r>
        <w:rPr>
          <w:rFonts w:hint="eastAsia" w:ascii="Times New Roman" w:hAnsi="Times New Roman" w:cs="Times New Roman"/>
          <w:bCs/>
          <w:color w:val="000000" w:themeColor="text1"/>
          <w:sz w:val="28"/>
          <w:szCs w:val="28"/>
          <w:lang w:eastAsia="zh-CN"/>
          <w14:textFill>
            <w14:solidFill>
              <w14:schemeClr w14:val="tx1"/>
            </w14:solidFill>
          </w14:textFill>
        </w:rPr>
        <w:t>，</w:t>
      </w:r>
      <w:r>
        <w:rPr>
          <w:rFonts w:hint="eastAsia" w:ascii="Times New Roman" w:hAnsi="Times New Roman" w:cs="Times New Roman"/>
          <w:bCs/>
          <w:color w:val="000000" w:themeColor="text1"/>
          <w:sz w:val="28"/>
          <w:szCs w:val="28"/>
          <w:lang w:val="en-US" w:eastAsia="zh-CN"/>
          <w14:textFill>
            <w14:solidFill>
              <w14:schemeClr w14:val="tx1"/>
            </w14:solidFill>
          </w14:textFill>
        </w:rPr>
        <w:t>厂区储存柴油30</w:t>
      </w:r>
      <w:r>
        <w:rPr>
          <w:rFonts w:hint="default" w:ascii="Times New Roman" w:hAnsi="Times New Roman" w:cs="Times New Roman"/>
          <w:bCs/>
          <w:color w:val="000000" w:themeColor="text1"/>
          <w:sz w:val="28"/>
          <w:szCs w:val="28"/>
          <w14:textFill>
            <w14:solidFill>
              <w14:schemeClr w14:val="tx1"/>
            </w14:solidFill>
          </w14:textFill>
        </w:rPr>
        <w:t>m</w:t>
      </w:r>
      <w:r>
        <w:rPr>
          <w:rFonts w:hint="default" w:ascii="Times New Roman" w:hAnsi="Times New Roman" w:cs="Times New Roman"/>
          <w:bCs/>
          <w:color w:val="000000" w:themeColor="text1"/>
          <w:sz w:val="28"/>
          <w:szCs w:val="28"/>
          <w:vertAlign w:val="superscript"/>
          <w14:textFill>
            <w14:solidFill>
              <w14:schemeClr w14:val="tx1"/>
            </w14:solidFill>
          </w14:textFill>
        </w:rPr>
        <w:t>3</w:t>
      </w:r>
      <w:r>
        <w:rPr>
          <w:rFonts w:hint="eastAsia" w:ascii="宋体" w:hAnsi="宋体" w:eastAsia="宋体" w:cs="宋体"/>
          <w:color w:val="000000" w:themeColor="text1"/>
          <w:kern w:val="0"/>
          <w:sz w:val="28"/>
          <w:szCs w:val="28"/>
          <w:lang w:val="en-US" w:eastAsia="zh-CN"/>
          <w14:textFill>
            <w14:solidFill>
              <w14:schemeClr w14:val="tx1"/>
            </w14:solidFill>
          </w14:textFill>
        </w:rPr>
        <w:t>（</w:t>
      </w:r>
      <w:r>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t>柴油密度为 0.85×10</w:t>
      </w:r>
      <w:r>
        <w:rPr>
          <w:rFonts w:hint="eastAsia" w:ascii="宋体" w:hAnsi="宋体" w:eastAsia="宋体" w:cs="宋体"/>
          <w:b w:val="0"/>
          <w:bCs w:val="0"/>
          <w:color w:val="000000" w:themeColor="text1"/>
          <w:kern w:val="0"/>
          <w:sz w:val="28"/>
          <w:szCs w:val="28"/>
          <w:vertAlign w:val="superscript"/>
          <w:lang w:val="en-US" w:eastAsia="zh-CN" w:bidi="ar"/>
          <w14:textFill>
            <w14:solidFill>
              <w14:schemeClr w14:val="tx1"/>
            </w14:solidFill>
          </w14:textFill>
        </w:rPr>
        <w:t>3</w:t>
      </w:r>
      <w:r>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t xml:space="preserve"> kg/m</w:t>
      </w:r>
      <w:r>
        <w:rPr>
          <w:rFonts w:hint="eastAsia" w:ascii="宋体" w:hAnsi="宋体" w:eastAsia="宋体" w:cs="宋体"/>
          <w:b w:val="0"/>
          <w:bCs w:val="0"/>
          <w:color w:val="000000" w:themeColor="text1"/>
          <w:kern w:val="0"/>
          <w:sz w:val="28"/>
          <w:szCs w:val="28"/>
          <w:vertAlign w:val="superscript"/>
          <w:lang w:val="en-US" w:eastAsia="zh-CN" w:bidi="ar"/>
          <w14:textFill>
            <w14:solidFill>
              <w14:schemeClr w14:val="tx1"/>
            </w14:solidFill>
          </w14:textFill>
        </w:rPr>
        <w:t>3</w:t>
      </w:r>
      <w:r>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t xml:space="preserve"> </w:t>
      </w:r>
      <w:r>
        <w:rPr>
          <w:rFonts w:hint="eastAsia" w:ascii="宋体" w:hAnsi="宋体" w:eastAsia="宋体" w:cs="宋体"/>
          <w:color w:val="000000" w:themeColor="text1"/>
          <w:kern w:val="0"/>
          <w:sz w:val="28"/>
          <w:szCs w:val="28"/>
          <w14:textFill>
            <w14:solidFill>
              <w14:schemeClr w14:val="tx1"/>
            </w14:solidFill>
          </w14:textFill>
        </w:rPr>
        <w:t>）</w:t>
      </w:r>
      <w:r>
        <w:rPr>
          <w:rFonts w:hint="eastAsia" w:ascii="宋体" w:hAnsi="宋体" w:eastAsia="宋体" w:cs="宋体"/>
          <w:color w:val="000000" w:themeColor="text1"/>
          <w:kern w:val="0"/>
          <w:sz w:val="28"/>
          <w:szCs w:val="28"/>
          <w:lang w:eastAsia="zh-CN"/>
          <w14:textFill>
            <w14:solidFill>
              <w14:schemeClr w14:val="tx1"/>
            </w14:solidFill>
          </w14:textFill>
        </w:rPr>
        <w:t>，</w:t>
      </w:r>
      <w:r>
        <w:rPr>
          <w:rFonts w:hint="default" w:ascii="Times New Roman" w:hAnsi="Times New Roman" w:cs="Times New Roman"/>
          <w:bCs/>
          <w:color w:val="000000" w:themeColor="text1"/>
          <w:spacing w:val="8"/>
          <w:sz w:val="28"/>
          <w:szCs w:val="28"/>
          <w14:textFill>
            <w14:solidFill>
              <w14:schemeClr w14:val="tx1"/>
            </w14:solidFill>
          </w14:textFill>
        </w:rPr>
        <w:t>烟气中含有的一氧化碳和二氧化硫在煤燃烧过程中产生，不储存，不纳入辨识范围</w:t>
      </w:r>
      <w:r>
        <w:rPr>
          <w:rFonts w:hint="default" w:ascii="Times New Roman" w:hAnsi="Times New Roman" w:cs="Times New Roman"/>
          <w:bCs/>
          <w:color w:val="000000" w:themeColor="text1"/>
          <w:sz w:val="28"/>
          <w:szCs w:val="28"/>
          <w14:textFill>
            <w14:solidFill>
              <w14:schemeClr w14:val="tx1"/>
            </w14:solidFill>
          </w14:textFill>
        </w:rPr>
        <w:t>。</w:t>
      </w:r>
    </w:p>
    <w:p w14:paraId="5B74CA9B">
      <w:pPr>
        <w:overflowPunct w:val="0"/>
        <w:adjustRightInd w:val="0"/>
        <w:snapToGrid w:val="0"/>
        <w:spacing w:line="500" w:lineRule="exact"/>
        <w:jc w:val="center"/>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表</w:t>
      </w:r>
      <w:r>
        <w:rPr>
          <w:rFonts w:hint="eastAsia" w:ascii="宋体" w:hAnsi="宋体" w:eastAsia="宋体" w:cs="宋体"/>
          <w:b/>
          <w:bCs/>
          <w:color w:val="000000" w:themeColor="text1"/>
          <w:sz w:val="24"/>
          <w:lang w:val="en-US" w:eastAsia="zh-CN"/>
          <w14:textFill>
            <w14:solidFill>
              <w14:schemeClr w14:val="tx1"/>
            </w14:solidFill>
          </w14:textFill>
        </w:rPr>
        <w:t xml:space="preserve">3-9 </w:t>
      </w:r>
      <w:r>
        <w:rPr>
          <w:rFonts w:hint="eastAsia" w:ascii="宋体" w:hAnsi="宋体" w:eastAsia="宋体" w:cs="宋体"/>
          <w:b/>
          <w:bCs/>
          <w:color w:val="000000" w:themeColor="text1"/>
          <w:sz w:val="24"/>
          <w14:textFill>
            <w14:solidFill>
              <w14:schemeClr w14:val="tx1"/>
            </w14:solidFill>
          </w14:textFill>
        </w:rPr>
        <w:t>危险化学品重大危险源计算表</w:t>
      </w:r>
    </w:p>
    <w:tbl>
      <w:tblPr>
        <w:tblStyle w:val="51"/>
        <w:tblW w:w="5220" w:type="pct"/>
        <w:tblInd w:w="-2" w:type="dxa"/>
        <w:tblLayout w:type="autofit"/>
        <w:tblCellMar>
          <w:top w:w="0" w:type="dxa"/>
          <w:left w:w="0" w:type="dxa"/>
          <w:bottom w:w="0" w:type="dxa"/>
          <w:right w:w="0" w:type="dxa"/>
        </w:tblCellMar>
      </w:tblPr>
      <w:tblGrid>
        <w:gridCol w:w="441"/>
        <w:gridCol w:w="877"/>
        <w:gridCol w:w="1388"/>
        <w:gridCol w:w="1736"/>
        <w:gridCol w:w="1559"/>
        <w:gridCol w:w="1962"/>
        <w:gridCol w:w="926"/>
      </w:tblGrid>
      <w:tr w14:paraId="4E63D126">
        <w:tblPrEx>
          <w:tblCellMar>
            <w:top w:w="0" w:type="dxa"/>
            <w:left w:w="0" w:type="dxa"/>
            <w:bottom w:w="0" w:type="dxa"/>
            <w:right w:w="0" w:type="dxa"/>
          </w:tblCellMar>
        </w:tblPrEx>
        <w:trPr>
          <w:cantSplit/>
          <w:trHeight w:val="804" w:hRule="atLeast"/>
          <w:tblHeader/>
        </w:trPr>
        <w:tc>
          <w:tcPr>
            <w:tcW w:w="248" w:type="pct"/>
            <w:tcBorders>
              <w:top w:val="single" w:color="000000" w:sz="4" w:space="0"/>
              <w:left w:val="single" w:color="000000" w:sz="4" w:space="0"/>
              <w:bottom w:val="single" w:color="000000" w:sz="4" w:space="0"/>
              <w:right w:val="single" w:color="000000" w:sz="4" w:space="0"/>
            </w:tcBorders>
            <w:noWrap/>
            <w:vAlign w:val="center"/>
          </w:tcPr>
          <w:p w14:paraId="42AD04EE">
            <w:pPr>
              <w:pStyle w:val="353"/>
              <w:overflowPunct w:val="0"/>
              <w:adjustRightInd w:val="0"/>
              <w:snapToGrid w:val="0"/>
              <w:spacing w:line="300" w:lineRule="exact"/>
              <w:ind w:left="0" w:leftChars="0"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b/>
                <w:bCs/>
                <w:color w:val="000000" w:themeColor="text1"/>
                <w:sz w:val="21"/>
                <w14:textFill>
                  <w14:solidFill>
                    <w14:schemeClr w14:val="tx1"/>
                  </w14:solidFill>
                </w14:textFill>
              </w:rPr>
              <w:t>序号</w:t>
            </w:r>
          </w:p>
        </w:tc>
        <w:tc>
          <w:tcPr>
            <w:tcW w:w="493" w:type="pct"/>
            <w:tcBorders>
              <w:top w:val="single" w:color="000000" w:sz="4" w:space="0"/>
              <w:left w:val="single" w:color="000000" w:sz="4" w:space="0"/>
              <w:bottom w:val="single" w:color="000000" w:sz="4" w:space="0"/>
              <w:right w:val="single" w:color="000000" w:sz="4" w:space="0"/>
            </w:tcBorders>
            <w:noWrap/>
            <w:vAlign w:val="center"/>
          </w:tcPr>
          <w:p w14:paraId="10F28B1C">
            <w:pPr>
              <w:pStyle w:val="353"/>
              <w:overflowPunct w:val="0"/>
              <w:adjustRightInd w:val="0"/>
              <w:snapToGrid w:val="0"/>
              <w:spacing w:line="300" w:lineRule="exact"/>
              <w:ind w:left="0" w:leftChars="0"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b/>
                <w:bCs/>
                <w:color w:val="000000" w:themeColor="text1"/>
                <w:sz w:val="21"/>
                <w14:textFill>
                  <w14:solidFill>
                    <w14:schemeClr w14:val="tx1"/>
                  </w14:solidFill>
                </w14:textFill>
              </w:rPr>
              <w:t>物质名称</w:t>
            </w:r>
          </w:p>
        </w:tc>
        <w:tc>
          <w:tcPr>
            <w:tcW w:w="780" w:type="pct"/>
            <w:tcBorders>
              <w:top w:val="single" w:color="000000" w:sz="4" w:space="0"/>
              <w:left w:val="single" w:color="000000" w:sz="4" w:space="0"/>
              <w:bottom w:val="single" w:color="000000" w:sz="4" w:space="0"/>
              <w:right w:val="single" w:color="000000" w:sz="4" w:space="0"/>
            </w:tcBorders>
            <w:noWrap/>
            <w:vAlign w:val="center"/>
          </w:tcPr>
          <w:p w14:paraId="4DF6A574">
            <w:pPr>
              <w:pStyle w:val="353"/>
              <w:overflowPunct w:val="0"/>
              <w:adjustRightInd w:val="0"/>
              <w:snapToGrid w:val="0"/>
              <w:spacing w:line="300" w:lineRule="exact"/>
              <w:ind w:left="0" w:leftChars="0"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b/>
                <w:bCs/>
                <w:color w:val="000000" w:themeColor="text1"/>
                <w:sz w:val="21"/>
                <w14:textFill>
                  <w14:solidFill>
                    <w14:schemeClr w14:val="tx1"/>
                  </w14:solidFill>
                </w14:textFill>
              </w:rPr>
              <w:t>临界量Q（t）</w:t>
            </w:r>
          </w:p>
        </w:tc>
        <w:tc>
          <w:tcPr>
            <w:tcW w:w="976" w:type="pct"/>
            <w:tcBorders>
              <w:top w:val="single" w:color="000000" w:sz="4" w:space="0"/>
              <w:left w:val="single" w:color="000000" w:sz="4" w:space="0"/>
              <w:bottom w:val="single" w:color="000000" w:sz="4" w:space="0"/>
              <w:right w:val="single" w:color="000000" w:sz="4" w:space="0"/>
            </w:tcBorders>
            <w:noWrap/>
            <w:vAlign w:val="center"/>
          </w:tcPr>
          <w:p w14:paraId="614725C4">
            <w:pPr>
              <w:pStyle w:val="353"/>
              <w:overflowPunct w:val="0"/>
              <w:adjustRightInd w:val="0"/>
              <w:snapToGrid w:val="0"/>
              <w:spacing w:line="300" w:lineRule="exact"/>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b/>
                <w:bCs/>
                <w:color w:val="000000" w:themeColor="text1"/>
                <w:sz w:val="21"/>
                <w:lang w:eastAsia="zh-CN"/>
                <w14:textFill>
                  <w14:solidFill>
                    <w14:schemeClr w14:val="tx1"/>
                  </w14:solidFill>
                </w14:textFill>
              </w:rPr>
              <w:t>实际存在量</w:t>
            </w:r>
            <w:r>
              <w:rPr>
                <w:rFonts w:hint="default" w:ascii="Times New Roman" w:hAnsi="Times New Roman" w:cs="Times New Roman"/>
                <w:b/>
                <w:bCs/>
                <w:color w:val="000000" w:themeColor="text1"/>
                <w:spacing w:val="-104"/>
                <w:sz w:val="21"/>
                <w14:textFill>
                  <w14:solidFill>
                    <w14:schemeClr w14:val="tx1"/>
                  </w14:solidFill>
                </w14:textFill>
              </w:rPr>
              <w:t>q</w:t>
            </w:r>
            <w:r>
              <w:rPr>
                <w:rFonts w:hint="default" w:ascii="Times New Roman" w:hAnsi="Times New Roman" w:cs="Times New Roman"/>
                <w:b/>
                <w:bCs/>
                <w:color w:val="000000" w:themeColor="text1"/>
                <w:spacing w:val="2"/>
                <w:sz w:val="21"/>
                <w14:textFill>
                  <w14:solidFill>
                    <w14:schemeClr w14:val="tx1"/>
                  </w14:solidFill>
                </w14:textFill>
              </w:rPr>
              <w:t>（</w:t>
            </w:r>
            <w:r>
              <w:rPr>
                <w:rFonts w:hint="default" w:ascii="Times New Roman" w:hAnsi="Times New Roman" w:cs="Times New Roman"/>
                <w:b/>
                <w:bCs/>
                <w:color w:val="000000" w:themeColor="text1"/>
                <w:spacing w:val="-4"/>
                <w:sz w:val="21"/>
                <w14:textFill>
                  <w14:solidFill>
                    <w14:schemeClr w14:val="tx1"/>
                  </w14:solidFill>
                </w14:textFill>
              </w:rPr>
              <w:t>t</w:t>
            </w:r>
            <w:r>
              <w:rPr>
                <w:rFonts w:hint="default" w:ascii="Times New Roman" w:hAnsi="Times New Roman" w:cs="Times New Roman"/>
                <w:b/>
                <w:bCs/>
                <w:color w:val="000000" w:themeColor="text1"/>
                <w:sz w:val="21"/>
                <w14:textFill>
                  <w14:solidFill>
                    <w14:schemeClr w14:val="tx1"/>
                  </w14:solidFill>
                </w14:textFill>
              </w:rPr>
              <w:t>）</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48FFE">
            <w:pPr>
              <w:snapToGrid w:val="0"/>
              <w:spacing w:line="276" w:lineRule="auto"/>
              <w:contextualSpacing/>
              <w:jc w:val="center"/>
              <w:rPr>
                <w:rFonts w:hint="default" w:ascii="Times New Roman" w:hAnsi="Times New Roman" w:eastAsia="宋体" w:cs="Times New Roman"/>
                <w:b/>
                <w:color w:val="000000" w:themeColor="text1"/>
                <w:sz w:val="24"/>
                <w:szCs w:val="21"/>
                <w:lang w:val="en-US" w:eastAsia="zh-CN" w:bidi="ar-SA"/>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S=q/Q</w:t>
            </w:r>
          </w:p>
        </w:tc>
        <w:tc>
          <w:tcPr>
            <w:tcW w:w="1103" w:type="pct"/>
            <w:tcBorders>
              <w:top w:val="single" w:color="000000" w:sz="4" w:space="0"/>
              <w:left w:val="single" w:color="000000" w:sz="4" w:space="0"/>
              <w:bottom w:val="single" w:color="000000" w:sz="4" w:space="0"/>
              <w:right w:val="single" w:color="000000" w:sz="4" w:space="0"/>
            </w:tcBorders>
            <w:noWrap/>
            <w:vAlign w:val="center"/>
          </w:tcPr>
          <w:p w14:paraId="3949613D">
            <w:pPr>
              <w:pStyle w:val="353"/>
              <w:overflowPunct w:val="0"/>
              <w:adjustRightInd w:val="0"/>
              <w:snapToGrid w:val="0"/>
              <w:spacing w:line="300" w:lineRule="exact"/>
              <w:ind w:left="0" w:leftChars="0" w:firstLine="0" w:firstLineChars="0"/>
              <w:jc w:val="center"/>
              <w:rPr>
                <w:rFonts w:hint="default" w:ascii="Times New Roman" w:hAnsi="Times New Roman" w:cs="Times New Roman"/>
                <w:color w:val="000000" w:themeColor="text1"/>
                <w:sz w:val="21"/>
                <w:lang w:eastAsia="zh-CN"/>
                <w14:textFill>
                  <w14:solidFill>
                    <w14:schemeClr w14:val="tx1"/>
                  </w14:solidFill>
                </w14:textFill>
              </w:rPr>
            </w:pPr>
            <w:r>
              <w:rPr>
                <w:rFonts w:hint="default" w:ascii="Times New Roman" w:hAnsi="Times New Roman" w:cs="Times New Roman"/>
                <w:b/>
                <w:color w:val="000000" w:themeColor="text1"/>
                <w:sz w:val="21"/>
                <w:lang w:eastAsia="zh-CN"/>
                <w14:textFill>
                  <w14:solidFill>
                    <w14:schemeClr w14:val="tx1"/>
                  </w14:solidFill>
                </w14:textFill>
              </w:rPr>
              <w:t>是否构成重大危险源</w:t>
            </w:r>
          </w:p>
        </w:tc>
        <w:tc>
          <w:tcPr>
            <w:tcW w:w="520" w:type="pct"/>
            <w:tcBorders>
              <w:top w:val="single" w:color="000000" w:sz="4" w:space="0"/>
              <w:left w:val="single" w:color="000000" w:sz="4" w:space="0"/>
              <w:bottom w:val="single" w:color="000000" w:sz="4" w:space="0"/>
              <w:right w:val="single" w:color="000000" w:sz="4" w:space="0"/>
            </w:tcBorders>
            <w:noWrap/>
            <w:vAlign w:val="center"/>
          </w:tcPr>
          <w:p w14:paraId="299A8160">
            <w:pPr>
              <w:pStyle w:val="353"/>
              <w:overflowPunct w:val="0"/>
              <w:adjustRightInd w:val="0"/>
              <w:snapToGrid w:val="0"/>
              <w:spacing w:line="300" w:lineRule="exact"/>
              <w:ind w:left="0" w:leftChars="0" w:firstLine="0" w:firstLineChars="0"/>
              <w:jc w:val="center"/>
              <w:rPr>
                <w:rFonts w:hint="default" w:ascii="Times New Roman" w:hAnsi="Times New Roman" w:cs="Times New Roman"/>
                <w:b/>
                <w:bCs/>
                <w:color w:val="000000" w:themeColor="text1"/>
                <w:sz w:val="21"/>
                <w:lang w:eastAsia="zh-CN"/>
                <w14:textFill>
                  <w14:solidFill>
                    <w14:schemeClr w14:val="tx1"/>
                  </w14:solidFill>
                </w14:textFill>
              </w:rPr>
            </w:pPr>
            <w:r>
              <w:rPr>
                <w:rFonts w:hint="default" w:ascii="Times New Roman" w:hAnsi="Times New Roman" w:cs="Times New Roman"/>
                <w:b/>
                <w:bCs/>
                <w:color w:val="000000" w:themeColor="text1"/>
                <w:sz w:val="21"/>
                <w:lang w:eastAsia="zh-CN"/>
                <w14:textFill>
                  <w14:solidFill>
                    <w14:schemeClr w14:val="tx1"/>
                  </w14:solidFill>
                </w14:textFill>
              </w:rPr>
              <w:t>备注</w:t>
            </w:r>
          </w:p>
        </w:tc>
      </w:tr>
      <w:tr w14:paraId="6BC52256">
        <w:tblPrEx>
          <w:tblCellMar>
            <w:top w:w="0" w:type="dxa"/>
            <w:left w:w="0" w:type="dxa"/>
            <w:bottom w:w="0" w:type="dxa"/>
            <w:right w:w="0" w:type="dxa"/>
          </w:tblCellMar>
        </w:tblPrEx>
        <w:trPr>
          <w:cantSplit/>
          <w:trHeight w:val="454" w:hRule="atLeast"/>
        </w:trPr>
        <w:tc>
          <w:tcPr>
            <w:tcW w:w="248" w:type="pct"/>
            <w:tcBorders>
              <w:top w:val="single" w:color="000000" w:sz="4" w:space="0"/>
              <w:left w:val="single" w:color="000000" w:sz="4" w:space="0"/>
              <w:bottom w:val="single" w:color="000000" w:sz="4" w:space="0"/>
              <w:right w:val="single" w:color="000000" w:sz="4" w:space="0"/>
            </w:tcBorders>
            <w:noWrap/>
            <w:vAlign w:val="center"/>
          </w:tcPr>
          <w:p w14:paraId="7B6C6931">
            <w:pPr>
              <w:pStyle w:val="353"/>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eastAsia="宋体" w:cs="宋体"/>
                <w:color w:val="000000" w:themeColor="text1"/>
                <w:sz w:val="21"/>
                <w:lang w:eastAsia="zh-CN"/>
                <w14:textFill>
                  <w14:solidFill>
                    <w14:schemeClr w14:val="tx1"/>
                  </w14:solidFill>
                </w14:textFill>
              </w:rPr>
              <w:t>1</w:t>
            </w:r>
          </w:p>
        </w:tc>
        <w:tc>
          <w:tcPr>
            <w:tcW w:w="493" w:type="pct"/>
            <w:tcBorders>
              <w:top w:val="single" w:color="000000" w:sz="4" w:space="0"/>
              <w:left w:val="single" w:color="000000" w:sz="4" w:space="0"/>
              <w:bottom w:val="single" w:color="000000" w:sz="4" w:space="0"/>
              <w:right w:val="single" w:color="000000" w:sz="4" w:space="0"/>
            </w:tcBorders>
            <w:noWrap/>
            <w:vAlign w:val="center"/>
          </w:tcPr>
          <w:p w14:paraId="27E56900">
            <w:pPr>
              <w:pStyle w:val="353"/>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eastAsia="宋体" w:cs="宋体"/>
                <w:color w:val="000000" w:themeColor="text1"/>
                <w:sz w:val="21"/>
                <w:lang w:eastAsia="zh-CN"/>
                <w14:textFill>
                  <w14:solidFill>
                    <w14:schemeClr w14:val="tx1"/>
                  </w14:solidFill>
                </w14:textFill>
              </w:rPr>
              <w:t>氧气</w:t>
            </w:r>
          </w:p>
        </w:tc>
        <w:tc>
          <w:tcPr>
            <w:tcW w:w="780" w:type="pct"/>
            <w:tcBorders>
              <w:top w:val="single" w:color="000000" w:sz="4" w:space="0"/>
              <w:left w:val="single" w:color="000000" w:sz="4" w:space="0"/>
              <w:bottom w:val="single" w:color="000000" w:sz="4" w:space="0"/>
              <w:right w:val="single" w:color="000000" w:sz="4" w:space="0"/>
            </w:tcBorders>
            <w:noWrap/>
            <w:vAlign w:val="center"/>
          </w:tcPr>
          <w:p w14:paraId="5407C02B">
            <w:pPr>
              <w:pStyle w:val="353"/>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eastAsia="宋体" w:cs="宋体"/>
                <w:color w:val="000000" w:themeColor="text1"/>
                <w:sz w:val="21"/>
                <w:lang w:eastAsia="zh-CN"/>
                <w14:textFill>
                  <w14:solidFill>
                    <w14:schemeClr w14:val="tx1"/>
                  </w14:solidFill>
                </w14:textFill>
              </w:rPr>
              <w:t>200</w:t>
            </w:r>
          </w:p>
        </w:tc>
        <w:tc>
          <w:tcPr>
            <w:tcW w:w="976" w:type="pct"/>
            <w:tcBorders>
              <w:top w:val="single" w:color="000000" w:sz="4" w:space="0"/>
              <w:left w:val="single" w:color="000000" w:sz="4" w:space="0"/>
              <w:bottom w:val="single" w:color="000000" w:sz="4" w:space="0"/>
              <w:right w:val="single" w:color="000000" w:sz="4" w:space="0"/>
            </w:tcBorders>
            <w:noWrap/>
            <w:vAlign w:val="center"/>
          </w:tcPr>
          <w:p w14:paraId="115C44BA">
            <w:pPr>
              <w:pStyle w:val="353"/>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cs="宋体"/>
                <w:color w:val="000000" w:themeColor="text1"/>
                <w:sz w:val="21"/>
                <w:lang w:val="en-US" w:eastAsia="zh-CN"/>
                <w14:textFill>
                  <w14:solidFill>
                    <w14:schemeClr w14:val="tx1"/>
                  </w14:solidFill>
                </w14:textFill>
              </w:rPr>
              <w:t>4</w:t>
            </w:r>
            <w:r>
              <w:rPr>
                <w:rFonts w:hint="eastAsia" w:ascii="宋体" w:hAnsi="宋体" w:eastAsia="宋体" w:cs="宋体"/>
                <w:color w:val="000000" w:themeColor="text1"/>
                <w:sz w:val="21"/>
                <w:lang w:eastAsia="zh-CN"/>
                <w14:textFill>
                  <w14:solidFill>
                    <w14:schemeClr w14:val="tx1"/>
                  </w14:solidFill>
                </w14:textFill>
              </w:rPr>
              <w:t>×0.00</w:t>
            </w:r>
            <w:r>
              <w:rPr>
                <w:rFonts w:hint="eastAsia" w:ascii="宋体" w:hAnsi="宋体" w:cs="宋体"/>
                <w:color w:val="000000" w:themeColor="text1"/>
                <w:sz w:val="21"/>
                <w:lang w:val="en-US" w:eastAsia="zh-CN"/>
                <w14:textFill>
                  <w14:solidFill>
                    <w14:schemeClr w14:val="tx1"/>
                  </w14:solidFill>
                </w14:textFill>
              </w:rPr>
              <w:t>4</w:t>
            </w:r>
            <w:r>
              <w:rPr>
                <w:rFonts w:hint="eastAsia" w:ascii="宋体" w:hAnsi="宋体" w:eastAsia="宋体" w:cs="宋体"/>
                <w:color w:val="000000" w:themeColor="text1"/>
                <w:sz w:val="21"/>
                <w:lang w:eastAsia="zh-CN"/>
                <w14:textFill>
                  <w14:solidFill>
                    <w14:schemeClr w14:val="tx1"/>
                  </w14:solidFill>
                </w14:textFill>
              </w:rPr>
              <w:t>=0.0</w:t>
            </w:r>
            <w:r>
              <w:rPr>
                <w:rFonts w:hint="eastAsia" w:ascii="宋体" w:hAnsi="宋体" w:eastAsia="宋体" w:cs="宋体"/>
                <w:color w:val="000000" w:themeColor="text1"/>
                <w:sz w:val="21"/>
                <w:lang w:val="en-US" w:eastAsia="zh-CN"/>
                <w14:textFill>
                  <w14:solidFill>
                    <w14:schemeClr w14:val="tx1"/>
                  </w14:solidFill>
                </w14:textFill>
              </w:rPr>
              <w:t>1</w:t>
            </w:r>
            <w:r>
              <w:rPr>
                <w:rFonts w:hint="eastAsia" w:ascii="宋体" w:hAnsi="宋体" w:cs="宋体"/>
                <w:color w:val="000000" w:themeColor="text1"/>
                <w:sz w:val="21"/>
                <w:lang w:val="en-US" w:eastAsia="zh-CN"/>
                <w14:textFill>
                  <w14:solidFill>
                    <w14:schemeClr w14:val="tx1"/>
                  </w14:solidFill>
                </w14:textFill>
              </w:rPr>
              <w:t>6</w:t>
            </w:r>
            <w:r>
              <w:rPr>
                <w:rFonts w:hint="eastAsia" w:ascii="宋体" w:hAnsi="宋体" w:eastAsia="宋体" w:cs="宋体"/>
                <w:color w:val="000000" w:themeColor="text1"/>
                <w:sz w:val="21"/>
                <w:lang w:eastAsia="zh-CN"/>
                <w14:textFill>
                  <w14:solidFill>
                    <w14:schemeClr w14:val="tx1"/>
                  </w14:solidFill>
                </w14:textFill>
              </w:rPr>
              <w:t>t</w:t>
            </w:r>
          </w:p>
        </w:tc>
        <w:tc>
          <w:tcPr>
            <w:tcW w:w="876" w:type="pct"/>
            <w:tcBorders>
              <w:top w:val="single" w:color="000000" w:sz="4" w:space="0"/>
              <w:left w:val="single" w:color="000000" w:sz="4" w:space="0"/>
              <w:bottom w:val="single" w:color="000000" w:sz="4" w:space="0"/>
              <w:right w:val="single" w:color="000000" w:sz="4" w:space="0"/>
            </w:tcBorders>
            <w:noWrap/>
            <w:vAlign w:val="center"/>
          </w:tcPr>
          <w:p w14:paraId="63A0BDFB">
            <w:pPr>
              <w:pStyle w:val="353"/>
              <w:overflowPunct w:val="0"/>
              <w:adjustRightInd w:val="0"/>
              <w:snapToGrid w:val="0"/>
              <w:spacing w:line="300" w:lineRule="exact"/>
              <w:jc w:val="center"/>
              <w:rPr>
                <w:rFonts w:hint="default" w:ascii="宋体" w:hAnsi="宋体" w:eastAsia="宋体" w:cs="宋体"/>
                <w:color w:val="000000" w:themeColor="text1"/>
                <w:sz w:val="21"/>
                <w:lang w:val="en-US" w:eastAsia="zh-CN"/>
                <w14:textFill>
                  <w14:solidFill>
                    <w14:schemeClr w14:val="tx1"/>
                  </w14:solidFill>
                </w14:textFill>
              </w:rPr>
            </w:pPr>
            <w:r>
              <w:rPr>
                <w:rFonts w:hint="eastAsia" w:ascii="宋体" w:hAnsi="宋体" w:cs="宋体"/>
                <w:color w:val="000000" w:themeColor="text1"/>
                <w:sz w:val="21"/>
                <w:lang w:val="en-US" w:eastAsia="zh-CN"/>
                <w14:textFill>
                  <w14:solidFill>
                    <w14:schemeClr w14:val="tx1"/>
                  </w14:solidFill>
                </w14:textFill>
              </w:rPr>
              <w:t>0.00008</w:t>
            </w:r>
          </w:p>
        </w:tc>
        <w:tc>
          <w:tcPr>
            <w:tcW w:w="1103" w:type="pct"/>
            <w:tcBorders>
              <w:top w:val="single" w:color="000000" w:sz="4" w:space="0"/>
              <w:left w:val="single" w:color="000000" w:sz="4" w:space="0"/>
              <w:bottom w:val="single" w:color="000000" w:sz="4" w:space="0"/>
              <w:right w:val="single" w:color="000000" w:sz="4" w:space="0"/>
            </w:tcBorders>
            <w:noWrap/>
            <w:vAlign w:val="center"/>
          </w:tcPr>
          <w:p w14:paraId="42767E06">
            <w:pPr>
              <w:pStyle w:val="353"/>
              <w:overflowPunct w:val="0"/>
              <w:adjustRightInd w:val="0"/>
              <w:snapToGrid w:val="0"/>
              <w:spacing w:line="300" w:lineRule="exact"/>
              <w:jc w:val="center"/>
              <w:rPr>
                <w:rFonts w:hint="default" w:ascii="Times New Roman" w:hAnsi="Times New Roman" w:cs="Times New Roman"/>
                <w:color w:val="000000" w:themeColor="text1"/>
                <w:sz w:val="22"/>
                <w:lang w:eastAsia="en-US"/>
                <w14:textFill>
                  <w14:solidFill>
                    <w14:schemeClr w14:val="tx1"/>
                  </w14:solidFill>
                </w14:textFill>
              </w:rPr>
            </w:pPr>
            <w:r>
              <w:rPr>
                <w:rStyle w:val="62"/>
                <w:rFonts w:hint="eastAsia" w:ascii="宋体" w:hAnsi="宋体" w:eastAsia="宋体" w:cs="宋体"/>
                <w:color w:val="000000" w:themeColor="text1"/>
                <w:kern w:val="2"/>
                <w:lang w:eastAsia="zh-CN"/>
                <w14:textFill>
                  <w14:solidFill>
                    <w14:schemeClr w14:val="tx1"/>
                  </w14:solidFill>
                </w14:textFill>
              </w:rPr>
              <w:t>否</w:t>
            </w:r>
          </w:p>
        </w:tc>
        <w:tc>
          <w:tcPr>
            <w:tcW w:w="520" w:type="pct"/>
            <w:tcBorders>
              <w:top w:val="single" w:color="000000" w:sz="4" w:space="0"/>
              <w:left w:val="single" w:color="000000" w:sz="4" w:space="0"/>
              <w:bottom w:val="single" w:color="000000" w:sz="4" w:space="0"/>
              <w:right w:val="single" w:color="000000" w:sz="4" w:space="0"/>
            </w:tcBorders>
            <w:noWrap/>
            <w:vAlign w:val="center"/>
          </w:tcPr>
          <w:p w14:paraId="78FE0797">
            <w:pPr>
              <w:overflowPunct w:val="0"/>
              <w:adjustRightInd w:val="0"/>
              <w:snapToGrid w:val="0"/>
              <w:spacing w:line="300" w:lineRule="exact"/>
              <w:jc w:val="center"/>
              <w:rPr>
                <w:rFonts w:hint="default" w:ascii="Times New Roman" w:hAnsi="Times New Roman" w:cs="Times New Roman"/>
                <w:color w:val="000000" w:themeColor="text1"/>
                <w:sz w:val="22"/>
                <w:lang w:eastAsia="en-US"/>
                <w14:textFill>
                  <w14:solidFill>
                    <w14:schemeClr w14:val="tx1"/>
                  </w14:solidFill>
                </w14:textFill>
              </w:rPr>
            </w:pPr>
          </w:p>
        </w:tc>
      </w:tr>
      <w:tr w14:paraId="6600CCCA">
        <w:tblPrEx>
          <w:tblCellMar>
            <w:top w:w="0" w:type="dxa"/>
            <w:left w:w="0" w:type="dxa"/>
            <w:bottom w:w="0" w:type="dxa"/>
            <w:right w:w="0" w:type="dxa"/>
          </w:tblCellMar>
        </w:tblPrEx>
        <w:trPr>
          <w:cantSplit/>
          <w:trHeight w:val="454" w:hRule="atLeast"/>
        </w:trPr>
        <w:tc>
          <w:tcPr>
            <w:tcW w:w="248" w:type="pct"/>
            <w:tcBorders>
              <w:top w:val="single" w:color="000000" w:sz="4" w:space="0"/>
              <w:left w:val="single" w:color="000000" w:sz="4" w:space="0"/>
              <w:bottom w:val="single" w:color="000000" w:sz="4" w:space="0"/>
              <w:right w:val="single" w:color="000000" w:sz="4" w:space="0"/>
            </w:tcBorders>
            <w:noWrap/>
            <w:vAlign w:val="center"/>
          </w:tcPr>
          <w:p w14:paraId="27865A8F">
            <w:pPr>
              <w:pStyle w:val="353"/>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eastAsia="宋体" w:cs="宋体"/>
                <w:color w:val="000000" w:themeColor="text1"/>
                <w:sz w:val="21"/>
                <w:lang w:eastAsia="zh-CN"/>
                <w14:textFill>
                  <w14:solidFill>
                    <w14:schemeClr w14:val="tx1"/>
                  </w14:solidFill>
                </w14:textFill>
              </w:rPr>
              <w:t>2</w:t>
            </w:r>
          </w:p>
        </w:tc>
        <w:tc>
          <w:tcPr>
            <w:tcW w:w="493" w:type="pct"/>
            <w:tcBorders>
              <w:top w:val="single" w:color="000000" w:sz="4" w:space="0"/>
              <w:left w:val="single" w:color="000000" w:sz="4" w:space="0"/>
              <w:bottom w:val="single" w:color="000000" w:sz="4" w:space="0"/>
              <w:right w:val="single" w:color="000000" w:sz="4" w:space="0"/>
            </w:tcBorders>
            <w:noWrap/>
            <w:vAlign w:val="center"/>
          </w:tcPr>
          <w:p w14:paraId="3E7CEDEF">
            <w:pPr>
              <w:pStyle w:val="353"/>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eastAsia="宋体" w:cs="宋体"/>
                <w:color w:val="000000" w:themeColor="text1"/>
                <w:sz w:val="21"/>
                <w:lang w:eastAsia="zh-CN"/>
                <w14:textFill>
                  <w14:solidFill>
                    <w14:schemeClr w14:val="tx1"/>
                  </w14:solidFill>
                </w14:textFill>
              </w:rPr>
              <w:t>乙炔</w:t>
            </w:r>
          </w:p>
        </w:tc>
        <w:tc>
          <w:tcPr>
            <w:tcW w:w="780" w:type="pct"/>
            <w:tcBorders>
              <w:top w:val="single" w:color="000000" w:sz="4" w:space="0"/>
              <w:left w:val="single" w:color="000000" w:sz="4" w:space="0"/>
              <w:bottom w:val="single" w:color="000000" w:sz="4" w:space="0"/>
              <w:right w:val="single" w:color="000000" w:sz="4" w:space="0"/>
            </w:tcBorders>
            <w:noWrap/>
            <w:vAlign w:val="center"/>
          </w:tcPr>
          <w:p w14:paraId="2B992AE0">
            <w:pPr>
              <w:pStyle w:val="353"/>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eastAsia="宋体" w:cs="宋体"/>
                <w:color w:val="000000" w:themeColor="text1"/>
                <w:sz w:val="21"/>
                <w:lang w:eastAsia="zh-CN"/>
                <w14:textFill>
                  <w14:solidFill>
                    <w14:schemeClr w14:val="tx1"/>
                  </w14:solidFill>
                </w14:textFill>
              </w:rPr>
              <w:t>1</w:t>
            </w:r>
          </w:p>
        </w:tc>
        <w:tc>
          <w:tcPr>
            <w:tcW w:w="976" w:type="pct"/>
            <w:tcBorders>
              <w:top w:val="single" w:color="000000" w:sz="4" w:space="0"/>
              <w:left w:val="single" w:color="000000" w:sz="4" w:space="0"/>
              <w:bottom w:val="single" w:color="000000" w:sz="4" w:space="0"/>
              <w:right w:val="single" w:color="000000" w:sz="4" w:space="0"/>
            </w:tcBorders>
            <w:noWrap/>
            <w:vAlign w:val="center"/>
          </w:tcPr>
          <w:p w14:paraId="3BBA3487">
            <w:pPr>
              <w:pStyle w:val="353"/>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eastAsia="宋体" w:cs="宋体"/>
                <w:color w:val="000000" w:themeColor="text1"/>
                <w:sz w:val="21"/>
                <w:lang w:val="en-US" w:eastAsia="zh-CN"/>
                <w14:textFill>
                  <w14:solidFill>
                    <w14:schemeClr w14:val="tx1"/>
                  </w14:solidFill>
                </w14:textFill>
              </w:rPr>
              <w:t>2</w:t>
            </w:r>
            <w:r>
              <w:rPr>
                <w:rFonts w:hint="eastAsia" w:ascii="宋体" w:hAnsi="宋体" w:eastAsia="宋体" w:cs="宋体"/>
                <w:color w:val="000000" w:themeColor="text1"/>
                <w:sz w:val="21"/>
                <w:lang w:eastAsia="zh-CN"/>
                <w14:textFill>
                  <w14:solidFill>
                    <w14:schemeClr w14:val="tx1"/>
                  </w14:solidFill>
                </w14:textFill>
              </w:rPr>
              <w:t>×0.007=0.0</w:t>
            </w:r>
            <w:r>
              <w:rPr>
                <w:rFonts w:hint="eastAsia" w:ascii="宋体" w:hAnsi="宋体" w:eastAsia="宋体" w:cs="宋体"/>
                <w:color w:val="000000" w:themeColor="text1"/>
                <w:sz w:val="21"/>
                <w:lang w:val="en-US" w:eastAsia="zh-CN"/>
                <w14:textFill>
                  <w14:solidFill>
                    <w14:schemeClr w14:val="tx1"/>
                  </w14:solidFill>
                </w14:textFill>
              </w:rPr>
              <w:t>14</w:t>
            </w:r>
            <w:r>
              <w:rPr>
                <w:rFonts w:hint="eastAsia" w:ascii="宋体" w:hAnsi="宋体" w:eastAsia="宋体" w:cs="宋体"/>
                <w:color w:val="000000" w:themeColor="text1"/>
                <w:sz w:val="21"/>
                <w:lang w:eastAsia="zh-CN"/>
                <w14:textFill>
                  <w14:solidFill>
                    <w14:schemeClr w14:val="tx1"/>
                  </w14:solidFill>
                </w14:textFill>
              </w:rPr>
              <w:t>t</w:t>
            </w:r>
          </w:p>
        </w:tc>
        <w:tc>
          <w:tcPr>
            <w:tcW w:w="876" w:type="pct"/>
            <w:tcBorders>
              <w:top w:val="single" w:color="000000" w:sz="4" w:space="0"/>
              <w:left w:val="single" w:color="000000" w:sz="4" w:space="0"/>
              <w:bottom w:val="single" w:color="000000" w:sz="4" w:space="0"/>
              <w:right w:val="single" w:color="000000" w:sz="4" w:space="0"/>
            </w:tcBorders>
            <w:noWrap/>
            <w:vAlign w:val="center"/>
          </w:tcPr>
          <w:p w14:paraId="34DB7FEA">
            <w:pPr>
              <w:pStyle w:val="353"/>
              <w:overflowPunct w:val="0"/>
              <w:adjustRightInd w:val="0"/>
              <w:snapToGrid w:val="0"/>
              <w:spacing w:line="300" w:lineRule="exact"/>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eastAsia="宋体" w:cs="宋体"/>
                <w:color w:val="000000" w:themeColor="text1"/>
                <w:sz w:val="21"/>
                <w:lang w:eastAsia="zh-CN"/>
                <w14:textFill>
                  <w14:solidFill>
                    <w14:schemeClr w14:val="tx1"/>
                  </w14:solidFill>
                </w14:textFill>
              </w:rPr>
              <w:t>0.0</w:t>
            </w:r>
            <w:r>
              <w:rPr>
                <w:rFonts w:hint="eastAsia" w:ascii="宋体" w:hAnsi="宋体" w:eastAsia="宋体" w:cs="宋体"/>
                <w:color w:val="000000" w:themeColor="text1"/>
                <w:sz w:val="21"/>
                <w:lang w:val="en-US" w:eastAsia="zh-CN"/>
                <w14:textFill>
                  <w14:solidFill>
                    <w14:schemeClr w14:val="tx1"/>
                  </w14:solidFill>
                </w14:textFill>
              </w:rPr>
              <w:t>14</w:t>
            </w:r>
          </w:p>
        </w:tc>
        <w:tc>
          <w:tcPr>
            <w:tcW w:w="1103" w:type="pct"/>
            <w:tcBorders>
              <w:top w:val="single" w:color="000000" w:sz="4" w:space="0"/>
              <w:left w:val="single" w:color="000000" w:sz="4" w:space="0"/>
              <w:bottom w:val="single" w:color="000000" w:sz="4" w:space="0"/>
              <w:right w:val="single" w:color="000000" w:sz="4" w:space="0"/>
            </w:tcBorders>
            <w:noWrap/>
            <w:vAlign w:val="center"/>
          </w:tcPr>
          <w:p w14:paraId="295EB07C">
            <w:pPr>
              <w:pStyle w:val="353"/>
              <w:overflowPunct w:val="0"/>
              <w:adjustRightInd w:val="0"/>
              <w:snapToGrid w:val="0"/>
              <w:spacing w:line="300" w:lineRule="exact"/>
              <w:jc w:val="center"/>
              <w:rPr>
                <w:rFonts w:hint="default" w:ascii="Times New Roman" w:hAnsi="Times New Roman" w:cs="Times New Roman"/>
                <w:color w:val="000000" w:themeColor="text1"/>
                <w:sz w:val="22"/>
                <w:lang w:eastAsia="en-US"/>
                <w14:textFill>
                  <w14:solidFill>
                    <w14:schemeClr w14:val="tx1"/>
                  </w14:solidFill>
                </w14:textFill>
              </w:rPr>
            </w:pPr>
            <w:r>
              <w:rPr>
                <w:rFonts w:hint="eastAsia" w:ascii="宋体" w:hAnsi="宋体" w:eastAsia="宋体" w:cs="宋体"/>
                <w:color w:val="000000" w:themeColor="text1"/>
                <w:sz w:val="21"/>
                <w:lang w:eastAsia="zh-CN"/>
                <w14:textFill>
                  <w14:solidFill>
                    <w14:schemeClr w14:val="tx1"/>
                  </w14:solidFill>
                </w14:textFill>
              </w:rPr>
              <w:t>否</w:t>
            </w:r>
          </w:p>
        </w:tc>
        <w:tc>
          <w:tcPr>
            <w:tcW w:w="520" w:type="pct"/>
            <w:tcBorders>
              <w:top w:val="single" w:color="000000" w:sz="4" w:space="0"/>
              <w:left w:val="single" w:color="000000" w:sz="4" w:space="0"/>
              <w:bottom w:val="single" w:color="000000" w:sz="4" w:space="0"/>
              <w:right w:val="single" w:color="000000" w:sz="4" w:space="0"/>
            </w:tcBorders>
            <w:noWrap/>
            <w:vAlign w:val="center"/>
          </w:tcPr>
          <w:p w14:paraId="3C58E5AB">
            <w:pPr>
              <w:overflowPunct w:val="0"/>
              <w:adjustRightInd w:val="0"/>
              <w:snapToGrid w:val="0"/>
              <w:spacing w:line="300" w:lineRule="exact"/>
              <w:jc w:val="center"/>
              <w:rPr>
                <w:rFonts w:hint="default" w:ascii="Times New Roman" w:hAnsi="Times New Roman" w:cs="Times New Roman"/>
                <w:color w:val="000000" w:themeColor="text1"/>
                <w:sz w:val="22"/>
                <w:lang w:eastAsia="en-US"/>
                <w14:textFill>
                  <w14:solidFill>
                    <w14:schemeClr w14:val="tx1"/>
                  </w14:solidFill>
                </w14:textFill>
              </w:rPr>
            </w:pPr>
          </w:p>
        </w:tc>
      </w:tr>
      <w:tr w14:paraId="2941A8B0">
        <w:tblPrEx>
          <w:tblCellMar>
            <w:top w:w="0" w:type="dxa"/>
            <w:left w:w="0" w:type="dxa"/>
            <w:bottom w:w="0" w:type="dxa"/>
            <w:right w:w="0" w:type="dxa"/>
          </w:tblCellMar>
        </w:tblPrEx>
        <w:trPr>
          <w:cantSplit/>
          <w:trHeight w:val="454" w:hRule="atLeast"/>
        </w:trPr>
        <w:tc>
          <w:tcPr>
            <w:tcW w:w="248" w:type="pct"/>
            <w:tcBorders>
              <w:top w:val="single" w:color="000000" w:sz="4" w:space="0"/>
              <w:left w:val="single" w:color="000000" w:sz="4" w:space="0"/>
              <w:bottom w:val="single" w:color="000000" w:sz="4" w:space="0"/>
              <w:right w:val="single" w:color="000000" w:sz="4" w:space="0"/>
            </w:tcBorders>
            <w:noWrap/>
            <w:vAlign w:val="center"/>
          </w:tcPr>
          <w:p w14:paraId="27DD2A3C">
            <w:pPr>
              <w:pStyle w:val="353"/>
              <w:overflowPunct w:val="0"/>
              <w:adjustRightInd w:val="0"/>
              <w:snapToGrid w:val="0"/>
              <w:spacing w:line="300" w:lineRule="exact"/>
              <w:ind w:left="0" w:leftChars="0" w:firstLine="0" w:firstLineChars="0"/>
              <w:jc w:val="center"/>
              <w:rPr>
                <w:rFonts w:hint="default" w:ascii="宋体" w:hAnsi="宋体" w:eastAsia="宋体" w:cs="宋体"/>
                <w:color w:val="000000" w:themeColor="text1"/>
                <w:sz w:val="21"/>
                <w:lang w:val="en-US" w:eastAsia="zh-CN"/>
                <w14:textFill>
                  <w14:solidFill>
                    <w14:schemeClr w14:val="tx1"/>
                  </w14:solidFill>
                </w14:textFill>
              </w:rPr>
            </w:pPr>
            <w:r>
              <w:rPr>
                <w:rFonts w:hint="eastAsia" w:ascii="宋体" w:hAnsi="宋体" w:eastAsia="宋体" w:cs="宋体"/>
                <w:color w:val="000000" w:themeColor="text1"/>
                <w:sz w:val="21"/>
                <w:lang w:val="en-US" w:eastAsia="zh-CN"/>
                <w14:textFill>
                  <w14:solidFill>
                    <w14:schemeClr w14:val="tx1"/>
                  </w14:solidFill>
                </w14:textFill>
              </w:rPr>
              <w:t>3</w:t>
            </w:r>
          </w:p>
        </w:tc>
        <w:tc>
          <w:tcPr>
            <w:tcW w:w="493" w:type="pct"/>
            <w:tcBorders>
              <w:top w:val="single" w:color="000000" w:sz="4" w:space="0"/>
              <w:left w:val="single" w:color="000000" w:sz="4" w:space="0"/>
              <w:bottom w:val="single" w:color="000000" w:sz="4" w:space="0"/>
              <w:right w:val="single" w:color="000000" w:sz="4" w:space="0"/>
            </w:tcBorders>
            <w:noWrap/>
            <w:vAlign w:val="center"/>
          </w:tcPr>
          <w:p w14:paraId="2AEBB775">
            <w:pPr>
              <w:pStyle w:val="353"/>
              <w:overflowPunct w:val="0"/>
              <w:adjustRightInd w:val="0"/>
              <w:snapToGrid w:val="0"/>
              <w:spacing w:line="300" w:lineRule="exact"/>
              <w:ind w:left="0" w:leftChars="0" w:firstLine="0" w:firstLineChars="0"/>
              <w:jc w:val="center"/>
              <w:rPr>
                <w:rFonts w:hint="default" w:ascii="宋体" w:hAnsi="宋体" w:eastAsia="宋体" w:cs="宋体"/>
                <w:color w:val="000000" w:themeColor="text1"/>
                <w:sz w:val="21"/>
                <w:lang w:val="en-US" w:eastAsia="zh-CN"/>
                <w14:textFill>
                  <w14:solidFill>
                    <w14:schemeClr w14:val="tx1"/>
                  </w14:solidFill>
                </w14:textFill>
              </w:rPr>
            </w:pPr>
            <w:r>
              <w:rPr>
                <w:rFonts w:hint="eastAsia" w:ascii="宋体" w:hAnsi="宋体" w:eastAsia="宋体" w:cs="宋体"/>
                <w:color w:val="000000" w:themeColor="text1"/>
                <w:sz w:val="21"/>
                <w:lang w:val="en-US" w:eastAsia="zh-CN"/>
                <w14:textFill>
                  <w14:solidFill>
                    <w14:schemeClr w14:val="tx1"/>
                  </w14:solidFill>
                </w14:textFill>
              </w:rPr>
              <w:t>柴油</w:t>
            </w:r>
          </w:p>
        </w:tc>
        <w:tc>
          <w:tcPr>
            <w:tcW w:w="780" w:type="pct"/>
            <w:tcBorders>
              <w:top w:val="single" w:color="000000" w:sz="4" w:space="0"/>
              <w:left w:val="single" w:color="000000" w:sz="4" w:space="0"/>
              <w:bottom w:val="single" w:color="000000" w:sz="4" w:space="0"/>
              <w:right w:val="single" w:color="000000" w:sz="4" w:space="0"/>
            </w:tcBorders>
            <w:noWrap/>
            <w:vAlign w:val="center"/>
          </w:tcPr>
          <w:p w14:paraId="0A610847">
            <w:pPr>
              <w:pStyle w:val="353"/>
              <w:overflowPunct w:val="0"/>
              <w:adjustRightInd w:val="0"/>
              <w:snapToGrid w:val="0"/>
              <w:spacing w:line="300" w:lineRule="exact"/>
              <w:ind w:left="0" w:leftChars="0" w:firstLine="0" w:firstLineChars="0"/>
              <w:jc w:val="center"/>
              <w:rPr>
                <w:rFonts w:hint="default" w:ascii="宋体" w:hAnsi="宋体" w:eastAsia="宋体" w:cs="宋体"/>
                <w:color w:val="000000" w:themeColor="text1"/>
                <w:sz w:val="21"/>
                <w:lang w:val="en-US" w:eastAsia="zh-CN"/>
                <w14:textFill>
                  <w14:solidFill>
                    <w14:schemeClr w14:val="tx1"/>
                  </w14:solidFill>
                </w14:textFill>
              </w:rPr>
            </w:pPr>
            <w:r>
              <w:rPr>
                <w:rFonts w:hint="eastAsia" w:ascii="宋体" w:hAnsi="宋体" w:eastAsia="宋体" w:cs="宋体"/>
                <w:color w:val="000000" w:themeColor="text1"/>
                <w:sz w:val="21"/>
                <w:lang w:val="en-US" w:eastAsia="zh-CN"/>
                <w14:textFill>
                  <w14:solidFill>
                    <w14:schemeClr w14:val="tx1"/>
                  </w14:solidFill>
                </w14:textFill>
              </w:rPr>
              <w:t>5000</w:t>
            </w:r>
          </w:p>
        </w:tc>
        <w:tc>
          <w:tcPr>
            <w:tcW w:w="976" w:type="pct"/>
            <w:tcBorders>
              <w:top w:val="single" w:color="000000" w:sz="4" w:space="0"/>
              <w:left w:val="single" w:color="000000" w:sz="4" w:space="0"/>
              <w:bottom w:val="single" w:color="000000" w:sz="4" w:space="0"/>
              <w:right w:val="single" w:color="000000" w:sz="4" w:space="0"/>
            </w:tcBorders>
            <w:noWrap/>
            <w:vAlign w:val="center"/>
          </w:tcPr>
          <w:p w14:paraId="39095EC7">
            <w:pPr>
              <w:pStyle w:val="353"/>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cs="宋体"/>
                <w:color w:val="000000" w:themeColor="text1"/>
                <w:sz w:val="21"/>
                <w:lang w:val="en-US" w:eastAsia="zh-CN"/>
                <w14:textFill>
                  <w14:solidFill>
                    <w14:schemeClr w14:val="tx1"/>
                  </w14:solidFill>
                </w14:textFill>
              </w:rPr>
              <w:t>30</w:t>
            </w:r>
            <w:r>
              <w:rPr>
                <w:rFonts w:hint="eastAsia" w:ascii="宋体" w:hAnsi="宋体" w:eastAsia="宋体" w:cs="宋体"/>
                <w:color w:val="000000" w:themeColor="text1"/>
                <w:sz w:val="21"/>
                <w:lang w:eastAsia="zh-CN"/>
                <w14:textFill>
                  <w14:solidFill>
                    <w14:schemeClr w14:val="tx1"/>
                  </w14:solidFill>
                </w14:textFill>
              </w:rPr>
              <w:t>×0.</w:t>
            </w:r>
            <w:r>
              <w:rPr>
                <w:rFonts w:hint="eastAsia" w:ascii="宋体" w:hAnsi="宋体" w:cs="宋体"/>
                <w:color w:val="000000" w:themeColor="text1"/>
                <w:sz w:val="21"/>
                <w:lang w:val="en-US" w:eastAsia="zh-CN"/>
                <w14:textFill>
                  <w14:solidFill>
                    <w14:schemeClr w14:val="tx1"/>
                  </w14:solidFill>
                </w14:textFill>
              </w:rPr>
              <w:t>85</w:t>
            </w:r>
            <w:r>
              <w:rPr>
                <w:rFonts w:hint="eastAsia" w:ascii="宋体" w:hAnsi="宋体" w:eastAsia="宋体" w:cs="宋体"/>
                <w:color w:val="000000" w:themeColor="text1"/>
                <w:sz w:val="21"/>
                <w:lang w:eastAsia="zh-CN"/>
                <w14:textFill>
                  <w14:solidFill>
                    <w14:schemeClr w14:val="tx1"/>
                  </w14:solidFill>
                </w14:textFill>
              </w:rPr>
              <w:t>=0.0</w:t>
            </w:r>
            <w:r>
              <w:rPr>
                <w:rFonts w:hint="eastAsia" w:ascii="宋体" w:hAnsi="宋体" w:cs="宋体"/>
                <w:color w:val="000000" w:themeColor="text1"/>
                <w:sz w:val="21"/>
                <w:lang w:val="en-US" w:eastAsia="zh-CN"/>
                <w14:textFill>
                  <w14:solidFill>
                    <w14:schemeClr w14:val="tx1"/>
                  </w14:solidFill>
                </w14:textFill>
              </w:rPr>
              <w:t>255</w:t>
            </w:r>
            <w:r>
              <w:rPr>
                <w:rFonts w:hint="eastAsia" w:ascii="宋体" w:hAnsi="宋体" w:eastAsia="宋体" w:cs="宋体"/>
                <w:color w:val="000000" w:themeColor="text1"/>
                <w:sz w:val="21"/>
                <w:lang w:eastAsia="zh-CN"/>
                <w14:textFill>
                  <w14:solidFill>
                    <w14:schemeClr w14:val="tx1"/>
                  </w14:solidFill>
                </w14:textFill>
              </w:rPr>
              <w:t>t</w:t>
            </w:r>
          </w:p>
        </w:tc>
        <w:tc>
          <w:tcPr>
            <w:tcW w:w="876" w:type="pct"/>
            <w:tcBorders>
              <w:top w:val="single" w:color="000000" w:sz="4" w:space="0"/>
              <w:left w:val="single" w:color="000000" w:sz="4" w:space="0"/>
              <w:bottom w:val="single" w:color="000000" w:sz="4" w:space="0"/>
              <w:right w:val="single" w:color="000000" w:sz="4" w:space="0"/>
            </w:tcBorders>
            <w:noWrap/>
            <w:vAlign w:val="center"/>
          </w:tcPr>
          <w:p w14:paraId="082AABBF">
            <w:pPr>
              <w:pStyle w:val="353"/>
              <w:overflowPunct w:val="0"/>
              <w:adjustRightInd w:val="0"/>
              <w:snapToGrid w:val="0"/>
              <w:spacing w:line="300" w:lineRule="exact"/>
              <w:jc w:val="center"/>
              <w:rPr>
                <w:rFonts w:hint="default" w:ascii="宋体" w:hAnsi="宋体" w:eastAsia="宋体" w:cs="宋体"/>
                <w:color w:val="000000" w:themeColor="text1"/>
                <w:sz w:val="21"/>
                <w:lang w:val="en-US" w:eastAsia="zh-CN"/>
                <w14:textFill>
                  <w14:solidFill>
                    <w14:schemeClr w14:val="tx1"/>
                  </w14:solidFill>
                </w14:textFill>
              </w:rPr>
            </w:pPr>
            <w:r>
              <w:rPr>
                <w:rFonts w:hint="eastAsia" w:ascii="宋体" w:hAnsi="宋体" w:cs="宋体"/>
                <w:color w:val="000000" w:themeColor="text1"/>
                <w:sz w:val="21"/>
                <w:lang w:val="en-US" w:eastAsia="zh-CN"/>
                <w14:textFill>
                  <w14:solidFill>
                    <w14:schemeClr w14:val="tx1"/>
                  </w14:solidFill>
                </w14:textFill>
              </w:rPr>
              <w:t>0.0000051</w:t>
            </w:r>
          </w:p>
        </w:tc>
        <w:tc>
          <w:tcPr>
            <w:tcW w:w="1103" w:type="pct"/>
            <w:tcBorders>
              <w:top w:val="single" w:color="000000" w:sz="4" w:space="0"/>
              <w:left w:val="single" w:color="000000" w:sz="4" w:space="0"/>
              <w:bottom w:val="single" w:color="000000" w:sz="4" w:space="0"/>
              <w:right w:val="single" w:color="000000" w:sz="4" w:space="0"/>
            </w:tcBorders>
            <w:noWrap/>
            <w:vAlign w:val="center"/>
          </w:tcPr>
          <w:p w14:paraId="3C8E4D2B">
            <w:pPr>
              <w:pStyle w:val="353"/>
              <w:overflowPunct w:val="0"/>
              <w:adjustRightInd w:val="0"/>
              <w:snapToGrid w:val="0"/>
              <w:spacing w:line="300" w:lineRule="exact"/>
              <w:jc w:val="center"/>
              <w:rPr>
                <w:rFonts w:hint="default" w:ascii="Times New Roman" w:hAnsi="Times New Roman" w:cs="Times New Roman"/>
                <w:color w:val="000000" w:themeColor="text1"/>
                <w:sz w:val="22"/>
                <w:lang w:eastAsia="en-US"/>
                <w14:textFill>
                  <w14:solidFill>
                    <w14:schemeClr w14:val="tx1"/>
                  </w14:solidFill>
                </w14:textFill>
              </w:rPr>
            </w:pPr>
            <w:r>
              <w:rPr>
                <w:rFonts w:hint="eastAsia" w:ascii="宋体" w:hAnsi="宋体" w:eastAsia="宋体" w:cs="宋体"/>
                <w:color w:val="000000" w:themeColor="text1"/>
                <w:sz w:val="21"/>
                <w:lang w:eastAsia="zh-CN"/>
                <w14:textFill>
                  <w14:solidFill>
                    <w14:schemeClr w14:val="tx1"/>
                  </w14:solidFill>
                </w14:textFill>
              </w:rPr>
              <w:t>否</w:t>
            </w:r>
          </w:p>
        </w:tc>
        <w:tc>
          <w:tcPr>
            <w:tcW w:w="520" w:type="pct"/>
            <w:tcBorders>
              <w:top w:val="single" w:color="000000" w:sz="4" w:space="0"/>
              <w:left w:val="single" w:color="000000" w:sz="4" w:space="0"/>
              <w:bottom w:val="single" w:color="000000" w:sz="4" w:space="0"/>
              <w:right w:val="single" w:color="000000" w:sz="4" w:space="0"/>
            </w:tcBorders>
            <w:noWrap/>
            <w:vAlign w:val="center"/>
          </w:tcPr>
          <w:p w14:paraId="2760B818">
            <w:pPr>
              <w:overflowPunct w:val="0"/>
              <w:adjustRightInd w:val="0"/>
              <w:snapToGrid w:val="0"/>
              <w:spacing w:line="300" w:lineRule="exact"/>
              <w:jc w:val="center"/>
              <w:rPr>
                <w:rFonts w:hint="default" w:ascii="Times New Roman" w:hAnsi="Times New Roman" w:cs="Times New Roman"/>
                <w:color w:val="000000" w:themeColor="text1"/>
                <w:sz w:val="22"/>
                <w:lang w:eastAsia="en-US"/>
                <w14:textFill>
                  <w14:solidFill>
                    <w14:schemeClr w14:val="tx1"/>
                  </w14:solidFill>
                </w14:textFill>
              </w:rPr>
            </w:pPr>
          </w:p>
        </w:tc>
      </w:tr>
    </w:tbl>
    <w:p w14:paraId="1F5F92F9">
      <w:pPr>
        <w:adjustRightInd w:val="0"/>
        <w:snapToGrid w:val="0"/>
        <w:spacing w:line="500" w:lineRule="exact"/>
        <w:ind w:firstLine="560" w:firstLineChars="200"/>
        <w:contextualSpacing/>
        <w:rPr>
          <w:rFonts w:hint="default" w:ascii="Times New Roman" w:hAnsi="Times New Roman" w:cs="Times New Roman"/>
          <w:color w:val="000000" w:themeColor="text1"/>
          <w:sz w:val="28"/>
          <w:szCs w:val="28"/>
          <w:lang w:bidi="zh-TW"/>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根据计算结果可知，储存单元S＜1，</w:t>
      </w:r>
      <w:r>
        <w:rPr>
          <w:rFonts w:hint="default" w:ascii="Times New Roman" w:hAnsi="Times New Roman" w:cs="Times New Roman"/>
          <w:color w:val="000000" w:themeColor="text1"/>
          <w:sz w:val="28"/>
          <w:szCs w:val="28"/>
          <w:lang w:bidi="zh-TW"/>
          <w14:textFill>
            <w14:solidFill>
              <w14:schemeClr w14:val="tx1"/>
            </w14:solidFill>
          </w14:textFill>
        </w:rPr>
        <w:t>因此该项目涉及的危险化学品储存单元未构成危险化学品重大危险源。</w:t>
      </w:r>
    </w:p>
    <w:p w14:paraId="4CE92AD7">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default" w:ascii="Times New Roman" w:hAnsi="Times New Roman" w:eastAsia="宋体" w:cs="Times New Roman"/>
          <w:color w:val="000000" w:themeColor="text1"/>
          <w:kern w:val="0"/>
          <w14:textFill>
            <w14:solidFill>
              <w14:schemeClr w14:val="tx1"/>
            </w14:solidFill>
          </w14:textFill>
        </w:rPr>
      </w:pPr>
      <w:bookmarkStart w:id="514" w:name="_Toc360019845"/>
      <w:r>
        <w:rPr>
          <w:rFonts w:hint="default" w:ascii="Times New Roman" w:hAnsi="Times New Roman" w:eastAsia="宋体" w:cs="Times New Roman"/>
          <w:color w:val="000000" w:themeColor="text1"/>
          <w:kern w:val="0"/>
          <w14:textFill>
            <w14:solidFill>
              <w14:schemeClr w14:val="tx1"/>
            </w14:solidFill>
          </w14:textFill>
        </w:rPr>
        <w:t>3.10.2.2重大危险源辨识</w:t>
      </w:r>
      <w:bookmarkEnd w:id="514"/>
      <w:r>
        <w:rPr>
          <w:rFonts w:hint="default" w:ascii="Times New Roman" w:hAnsi="Times New Roman" w:eastAsia="宋体" w:cs="Times New Roman"/>
          <w:color w:val="000000" w:themeColor="text1"/>
          <w:kern w:val="0"/>
          <w14:textFill>
            <w14:solidFill>
              <w14:schemeClr w14:val="tx1"/>
            </w14:solidFill>
          </w14:textFill>
        </w:rPr>
        <w:t>结论</w:t>
      </w:r>
    </w:p>
    <w:p w14:paraId="79D20063">
      <w:pPr>
        <w:adjustRightInd w:val="0"/>
        <w:snapToGrid w:val="0"/>
        <w:spacing w:line="500" w:lineRule="exact"/>
        <w:ind w:firstLine="560" w:firstLineChars="200"/>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根据《危险化学品重大危险源辨识》（</w:t>
      </w:r>
      <w:r>
        <w:rPr>
          <w:rFonts w:hint="default" w:ascii="Times New Roman" w:hAnsi="Times New Roman" w:cs="Times New Roman"/>
          <w:color w:val="000000" w:themeColor="text1"/>
          <w:sz w:val="28"/>
          <w:szCs w:val="28"/>
          <w14:textFill>
            <w14:solidFill>
              <w14:schemeClr w14:val="tx1"/>
            </w14:solidFill>
          </w14:textFill>
        </w:rPr>
        <w:t>GB 18218-2018），牟定乾泰建材有限公司年产9000万块页岩多孔空心砖生产线技术改造项目涉及的</w:t>
      </w:r>
      <w:r>
        <w:rPr>
          <w:rFonts w:hint="default" w:ascii="Times New Roman" w:hAnsi="Times New Roman" w:cs="Times New Roman"/>
          <w:color w:val="000000" w:themeColor="text1"/>
          <w:sz w:val="28"/>
          <w14:textFill>
            <w14:solidFill>
              <w14:schemeClr w14:val="tx1"/>
            </w14:solidFill>
          </w14:textFill>
        </w:rPr>
        <w:t>危险化学品</w:t>
      </w:r>
      <w:r>
        <w:rPr>
          <w:rFonts w:hint="default" w:ascii="Times New Roman" w:hAnsi="Times New Roman" w:cs="Times New Roman"/>
          <w:color w:val="000000" w:themeColor="text1"/>
          <w:sz w:val="28"/>
          <w:szCs w:val="28"/>
          <w14:textFill>
            <w14:solidFill>
              <w14:schemeClr w14:val="tx1"/>
            </w14:solidFill>
          </w14:textFill>
        </w:rPr>
        <w:t>不构成危险化学品重大危险源</w:t>
      </w:r>
      <w:r>
        <w:rPr>
          <w:rFonts w:hint="default" w:ascii="Times New Roman" w:hAnsi="Times New Roman" w:cs="Times New Roman"/>
          <w:snapToGrid w:val="0"/>
          <w:color w:val="000000" w:themeColor="text1"/>
          <w:kern w:val="0"/>
          <w:sz w:val="28"/>
          <w:szCs w:val="28"/>
          <w14:textFill>
            <w14:solidFill>
              <w14:schemeClr w14:val="tx1"/>
            </w14:solidFill>
          </w14:textFill>
        </w:rPr>
        <w:t>。</w:t>
      </w:r>
    </w:p>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64"/>
    <w:bookmarkEnd w:id="365"/>
    <w:bookmarkEnd w:id="366"/>
    <w:bookmarkEnd w:id="367"/>
    <w:p w14:paraId="173AAA62">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default" w:ascii="Times New Roman" w:hAnsi="Times New Roman" w:eastAsia="黑体" w:cs="Times New Roman"/>
          <w:color w:val="000000" w:themeColor="text1"/>
          <w14:textFill>
            <w14:solidFill>
              <w14:schemeClr w14:val="tx1"/>
            </w14:solidFill>
          </w14:textFill>
        </w:rPr>
      </w:pPr>
      <w:bookmarkStart w:id="515" w:name="_Toc24007"/>
      <w:bookmarkStart w:id="516" w:name="_Toc9226"/>
      <w:bookmarkStart w:id="517" w:name="_Toc19234"/>
      <w:bookmarkStart w:id="518" w:name="_Toc1699"/>
      <w:r>
        <w:rPr>
          <w:rFonts w:hint="default" w:ascii="Times New Roman" w:hAnsi="Times New Roman" w:eastAsia="黑体" w:cs="Times New Roman"/>
          <w:color w:val="000000" w:themeColor="text1"/>
          <w14:textFill>
            <w14:solidFill>
              <w14:schemeClr w14:val="tx1"/>
            </w14:solidFill>
          </w14:textFill>
        </w:rPr>
        <w:t>第4章  评价单元划分及评价方法选择</w:t>
      </w:r>
      <w:bookmarkEnd w:id="515"/>
      <w:bookmarkEnd w:id="516"/>
      <w:bookmarkEnd w:id="517"/>
      <w:bookmarkEnd w:id="518"/>
    </w:p>
    <w:p w14:paraId="26A1EEB4">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519" w:name="_Toc231978505"/>
      <w:bookmarkStart w:id="520" w:name="_Toc213410604"/>
      <w:bookmarkStart w:id="521" w:name="_Toc14224"/>
      <w:bookmarkStart w:id="522" w:name="_Toc4065"/>
      <w:bookmarkStart w:id="523" w:name="_Toc3088"/>
      <w:bookmarkStart w:id="524" w:name="_Toc30933"/>
      <w:bookmarkStart w:id="525" w:name="_Toc13276"/>
      <w:bookmarkStart w:id="526" w:name="_Toc5033"/>
      <w:bookmarkStart w:id="527" w:name="_Toc5393"/>
      <w:bookmarkStart w:id="528" w:name="_Toc212043609"/>
      <w:bookmarkStart w:id="529" w:name="_Toc233668306"/>
      <w:bookmarkStart w:id="530" w:name="_Toc195156252"/>
      <w:bookmarkStart w:id="531" w:name="_Toc207527407"/>
      <w:bookmarkStart w:id="532" w:name="_Toc313453581"/>
      <w:bookmarkStart w:id="533" w:name="_Toc13141"/>
      <w:bookmarkStart w:id="534" w:name="_Toc335926256"/>
      <w:bookmarkStart w:id="535" w:name="_Toc10765"/>
      <w:bookmarkStart w:id="536" w:name="_Toc32119"/>
      <w:r>
        <w:rPr>
          <w:rFonts w:hint="default" w:ascii="Times New Roman" w:hAnsi="Times New Roman" w:eastAsia="楷体" w:cs="Times New Roman"/>
          <w:color w:val="000000" w:themeColor="text1"/>
          <w14:textFill>
            <w14:solidFill>
              <w14:schemeClr w14:val="tx1"/>
            </w14:solidFill>
          </w14:textFill>
        </w:rPr>
        <w:t>4.1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安全评价单元划分</w:t>
      </w:r>
      <w:bookmarkEnd w:id="519"/>
      <w:bookmarkEnd w:id="520"/>
      <w:bookmarkEnd w:id="521"/>
      <w:bookmarkEnd w:id="522"/>
      <w:bookmarkEnd w:id="523"/>
      <w:bookmarkEnd w:id="524"/>
      <w:bookmarkEnd w:id="525"/>
      <w:bookmarkEnd w:id="526"/>
      <w:bookmarkEnd w:id="527"/>
      <w:bookmarkEnd w:id="528"/>
      <w:bookmarkEnd w:id="529"/>
      <w:bookmarkEnd w:id="530"/>
      <w:bookmarkEnd w:id="531"/>
    </w:p>
    <w:p w14:paraId="37E7188C">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537" w:name="_Toc231978506"/>
      <w:bookmarkStart w:id="538" w:name="_Toc233668307"/>
      <w:bookmarkStart w:id="539" w:name="_Toc3603"/>
      <w:bookmarkStart w:id="540" w:name="_Toc207527408"/>
      <w:bookmarkStart w:id="541" w:name="_Toc188863910"/>
      <w:bookmarkStart w:id="542" w:name="_Toc28774"/>
      <w:bookmarkStart w:id="543" w:name="_Toc187699915"/>
      <w:bookmarkStart w:id="544" w:name="_Toc213410605"/>
      <w:bookmarkStart w:id="545" w:name="_Toc7417"/>
      <w:bookmarkStart w:id="546" w:name="_Toc8884"/>
      <w:bookmarkStart w:id="547" w:name="_Toc28570"/>
      <w:bookmarkStart w:id="548" w:name="_Toc30637"/>
      <w:r>
        <w:rPr>
          <w:rFonts w:hint="default" w:ascii="Times New Roman" w:hAnsi="Times New Roman" w:eastAsia="黑体" w:cs="Times New Roman"/>
          <w:color w:val="000000" w:themeColor="text1"/>
          <w:lang w:val="en-US" w:eastAsia="zh-CN"/>
          <w14:textFill>
            <w14:solidFill>
              <w14:schemeClr w14:val="tx1"/>
            </w14:solidFill>
          </w14:textFill>
        </w:rPr>
        <w:t>4.1.1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lang w:val="en-US" w:eastAsia="zh-CN"/>
          <w14:textFill>
            <w14:solidFill>
              <w14:schemeClr w14:val="tx1"/>
            </w14:solidFill>
          </w14:textFill>
        </w:rPr>
        <w:t>评价单元划分原则</w:t>
      </w:r>
      <w:bookmarkEnd w:id="537"/>
      <w:bookmarkEnd w:id="538"/>
      <w:bookmarkEnd w:id="539"/>
      <w:bookmarkEnd w:id="540"/>
      <w:bookmarkEnd w:id="541"/>
      <w:bookmarkEnd w:id="542"/>
      <w:bookmarkEnd w:id="543"/>
      <w:bookmarkEnd w:id="544"/>
      <w:bookmarkEnd w:id="545"/>
      <w:bookmarkEnd w:id="546"/>
      <w:bookmarkEnd w:id="547"/>
      <w:bookmarkEnd w:id="548"/>
    </w:p>
    <w:p w14:paraId="2066B858">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划分评价单元是为评价目标和选用评价方法服务的，要便于评价工作的进行，有利于提高评价工作的准确性。评价单元的划分，一般将生产工艺、工艺装置、物料的特点和特性与危险、有害因素的类别、分布有机结合进行划分，还可以按评价的需要将一个评价单元再划分为若干子评价单元或更细致的单元。</w:t>
      </w:r>
    </w:p>
    <w:p w14:paraId="383F33F8">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常用的评价单元划分原则如下：</w:t>
      </w:r>
    </w:p>
    <w:p w14:paraId="0D3BFDEF">
      <w:pPr>
        <w:keepNext w:val="0"/>
        <w:keepLines w:val="0"/>
        <w:pageBreakBefore w:val="0"/>
        <w:widowControl w:val="0"/>
        <w:numPr>
          <w:ilvl w:val="0"/>
          <w:numId w:val="0"/>
        </w:numPr>
        <w:kinsoku/>
        <w:wordWrap/>
        <w:overflowPunct/>
        <w:topLinePunct w:val="0"/>
        <w:bidi w:val="0"/>
        <w:snapToGrid w:val="0"/>
        <w:spacing w:line="520" w:lineRule="exact"/>
        <w:ind w:left="0" w:leftChars="0"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eastAsia="zh-CN" w:bidi="ar-SA"/>
          <w14:textFill>
            <w14:solidFill>
              <w14:schemeClr w14:val="tx1"/>
            </w14:solidFill>
          </w14:textFill>
        </w:rPr>
        <w:t>1．</w:t>
      </w:r>
      <w:r>
        <w:rPr>
          <w:rFonts w:hint="eastAsia" w:ascii="宋体" w:hAnsi="宋体" w:eastAsia="宋体" w:cs="宋体"/>
          <w:color w:val="000000" w:themeColor="text1"/>
          <w:sz w:val="28"/>
          <w:szCs w:val="28"/>
          <w:lang w:val="en-GB"/>
          <w14:textFill>
            <w14:solidFill>
              <w14:schemeClr w14:val="tx1"/>
            </w14:solidFill>
          </w14:textFill>
        </w:rPr>
        <w:t>按危险、有害因素的类别为主划分评价单元；</w:t>
      </w:r>
    </w:p>
    <w:p w14:paraId="602E0A22">
      <w:pPr>
        <w:keepNext w:val="0"/>
        <w:keepLines w:val="0"/>
        <w:pageBreakBefore w:val="0"/>
        <w:widowControl w:val="0"/>
        <w:numPr>
          <w:ilvl w:val="0"/>
          <w:numId w:val="0"/>
        </w:numPr>
        <w:kinsoku/>
        <w:wordWrap/>
        <w:overflowPunct/>
        <w:topLinePunct w:val="0"/>
        <w:bidi w:val="0"/>
        <w:snapToGrid w:val="0"/>
        <w:spacing w:line="520" w:lineRule="exact"/>
        <w:ind w:left="0" w:leftChars="0"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eastAsia="zh-CN" w:bidi="ar-SA"/>
          <w14:textFill>
            <w14:solidFill>
              <w14:schemeClr w14:val="tx1"/>
            </w14:solidFill>
          </w14:textFill>
        </w:rPr>
        <w:t>2．</w:t>
      </w:r>
      <w:r>
        <w:rPr>
          <w:rFonts w:hint="eastAsia" w:ascii="宋体" w:hAnsi="宋体" w:eastAsia="宋体" w:cs="宋体"/>
          <w:color w:val="000000" w:themeColor="text1"/>
          <w:sz w:val="28"/>
          <w:szCs w:val="28"/>
          <w:lang w:val="en-GB"/>
          <w14:textFill>
            <w14:solidFill>
              <w14:schemeClr w14:val="tx1"/>
            </w14:solidFill>
          </w14:textFill>
        </w:rPr>
        <w:t>按装置和物质特征划分评价单元；</w:t>
      </w:r>
    </w:p>
    <w:p w14:paraId="38C25CBD">
      <w:pPr>
        <w:keepNext w:val="0"/>
        <w:keepLines w:val="0"/>
        <w:pageBreakBefore w:val="0"/>
        <w:widowControl w:val="0"/>
        <w:numPr>
          <w:ilvl w:val="0"/>
          <w:numId w:val="0"/>
        </w:numPr>
        <w:kinsoku/>
        <w:wordWrap/>
        <w:overflowPunct/>
        <w:topLinePunct w:val="0"/>
        <w:bidi w:val="0"/>
        <w:snapToGrid w:val="0"/>
        <w:spacing w:line="520" w:lineRule="exact"/>
        <w:ind w:left="0" w:leftChars="0"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eastAsia="zh-CN" w:bidi="ar-SA"/>
          <w14:textFill>
            <w14:solidFill>
              <w14:schemeClr w14:val="tx1"/>
            </w14:solidFill>
          </w14:textFill>
        </w:rPr>
        <w:t>3．</w:t>
      </w:r>
      <w:r>
        <w:rPr>
          <w:rFonts w:hint="eastAsia" w:ascii="宋体" w:hAnsi="宋体" w:eastAsia="宋体" w:cs="宋体"/>
          <w:color w:val="000000" w:themeColor="text1"/>
          <w:sz w:val="28"/>
          <w:szCs w:val="28"/>
          <w:lang w:val="en-GB"/>
          <w14:textFill>
            <w14:solidFill>
              <w14:schemeClr w14:val="tx1"/>
            </w14:solidFill>
          </w14:textFill>
        </w:rPr>
        <w:t>可以将安全管理、外部周边情况分别划为一个评价单元。</w:t>
      </w:r>
    </w:p>
    <w:p w14:paraId="71CA134D">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549" w:name="_Toc1682"/>
      <w:bookmarkStart w:id="550" w:name="_Toc61474454"/>
      <w:bookmarkStart w:id="551" w:name="_Toc30691"/>
      <w:bookmarkStart w:id="552" w:name="_Toc22354"/>
      <w:bookmarkStart w:id="553" w:name="_Toc7612"/>
      <w:bookmarkStart w:id="554" w:name="_Toc216867553"/>
      <w:bookmarkStart w:id="555" w:name="_Toc278151412"/>
      <w:bookmarkStart w:id="556" w:name="_Toc19182"/>
      <w:bookmarkStart w:id="557" w:name="_Toc30001431"/>
      <w:r>
        <w:rPr>
          <w:rFonts w:hint="default" w:ascii="Times New Roman" w:hAnsi="Times New Roman" w:eastAsia="黑体" w:cs="Times New Roman"/>
          <w:color w:val="000000" w:themeColor="text1"/>
          <w:lang w:val="en-US" w:eastAsia="zh-CN"/>
          <w14:textFill>
            <w14:solidFill>
              <w14:schemeClr w14:val="tx1"/>
            </w14:solidFill>
          </w14:textFill>
        </w:rPr>
        <w:t>4.1.2评价单元划分方法</w:t>
      </w:r>
      <w:bookmarkEnd w:id="549"/>
      <w:bookmarkEnd w:id="550"/>
      <w:bookmarkEnd w:id="551"/>
      <w:bookmarkEnd w:id="552"/>
      <w:bookmarkEnd w:id="553"/>
      <w:bookmarkEnd w:id="554"/>
      <w:bookmarkEnd w:id="555"/>
      <w:bookmarkEnd w:id="556"/>
      <w:bookmarkEnd w:id="557"/>
    </w:p>
    <w:p w14:paraId="70535C1E">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划分评价单元的方法主要有两类，一是以危险、有害因素的类别为主来划分；二是以生产工艺装置或场所为主来划分。常用的评价单元划分方法有：</w:t>
      </w:r>
    </w:p>
    <w:p w14:paraId="4901E182">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lang w:val="zh-CN"/>
          <w14:textFill>
            <w14:solidFill>
              <w14:schemeClr w14:val="tx1"/>
            </w14:solidFill>
          </w14:textFill>
        </w:rPr>
        <w:t>以危险、有害因素的类别为主划分评价单元。</w:t>
      </w:r>
    </w:p>
    <w:p w14:paraId="683526BE">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（1）对工艺方案、总体布置及自然条件、环境对系统影响等综合方面的危险、有害因素的分析和评价，可将整个系统作为一个评价单元；</w:t>
      </w:r>
    </w:p>
    <w:p w14:paraId="5A1C4427">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（2）将具有共性危险因素、有害因素的场所和装置划为一个单元。</w:t>
      </w:r>
    </w:p>
    <w:p w14:paraId="096F730C">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zh-CN"/>
          <w14:textFill>
            <w14:solidFill>
              <w14:schemeClr w14:val="tx1"/>
            </w14:solidFill>
          </w14:textFill>
        </w:rPr>
        <w:t>以装置和物质特征划分评价单元。</w:t>
      </w:r>
    </w:p>
    <w:p w14:paraId="139D55E6">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（1）按装置工艺功能划分；</w:t>
      </w:r>
    </w:p>
    <w:p w14:paraId="15F5176C">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（2）按布置的相对独立性划分；</w:t>
      </w:r>
    </w:p>
    <w:p w14:paraId="76904CEB">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（3）按工艺条件划分评价单元；</w:t>
      </w:r>
    </w:p>
    <w:p w14:paraId="18E3C68A">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（4）按贮存、处理危险物品的潜在化学能、毒性和危险物品的数量划分评价单元；</w:t>
      </w:r>
    </w:p>
    <w:p w14:paraId="754456A6">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（5）根据以往事故资料，将发生事故能导致停产、波及范围大、造成巨大损失和伤害的关键设备作为一个单元；</w:t>
      </w:r>
    </w:p>
    <w:p w14:paraId="59BD1930">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（6）将危险性大且资金密度大的区域作为一个评价单元；</w:t>
      </w:r>
    </w:p>
    <w:p w14:paraId="467C1C15">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（7）将危险性特别大的区域、装置作为一个评价单元；</w:t>
      </w:r>
    </w:p>
    <w:p w14:paraId="224E1CB6">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（8）将具有类似危险性潜能的单元合并为一个大单元。</w:t>
      </w:r>
    </w:p>
    <w:p w14:paraId="1C67508C">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558" w:name="_Toc23396"/>
      <w:bookmarkStart w:id="559" w:name="_Toc17199"/>
      <w:r>
        <w:rPr>
          <w:rFonts w:hint="default" w:ascii="Times New Roman" w:hAnsi="Times New Roman" w:eastAsia="楷体" w:cs="Times New Roman"/>
          <w:color w:val="000000" w:themeColor="text1"/>
          <w14:textFill>
            <w14:solidFill>
              <w14:schemeClr w14:val="tx1"/>
            </w14:solidFill>
          </w14:textFill>
        </w:rPr>
        <w:t>4.2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评价单元划分</w:t>
      </w:r>
      <w:bookmarkEnd w:id="532"/>
      <w:bookmarkEnd w:id="533"/>
      <w:bookmarkEnd w:id="534"/>
      <w:r>
        <w:rPr>
          <w:rFonts w:hint="default" w:ascii="Times New Roman" w:hAnsi="Times New Roman" w:eastAsia="楷体" w:cs="Times New Roman"/>
          <w:color w:val="000000" w:themeColor="text1"/>
          <w14:textFill>
            <w14:solidFill>
              <w14:schemeClr w14:val="tx1"/>
            </w14:solidFill>
          </w14:textFill>
        </w:rPr>
        <w:t>结果</w:t>
      </w:r>
      <w:bookmarkEnd w:id="535"/>
      <w:bookmarkEnd w:id="536"/>
      <w:bookmarkEnd w:id="558"/>
      <w:bookmarkEnd w:id="559"/>
    </w:p>
    <w:p w14:paraId="69C9194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default" w:ascii="Times New Roman" w:hAnsi="Times New Roman" w:eastAsia="宋体" w:cs="Times New Roman"/>
          <w:color w:val="000000" w:themeColor="text1"/>
          <w:sz w:val="28"/>
          <w:szCs w:val="28"/>
          <w14:textFill>
            <w14:solidFill>
              <w14:schemeClr w14:val="tx1"/>
            </w14:solidFill>
          </w14:textFill>
        </w:rPr>
      </w:pPr>
      <w:bookmarkStart w:id="560" w:name="_Toc11884"/>
      <w:bookmarkStart w:id="561" w:name="_Toc313453582"/>
      <w:bookmarkStart w:id="562" w:name="_Toc191799968"/>
      <w:bookmarkStart w:id="563" w:name="_Toc335926257"/>
      <w:r>
        <w:rPr>
          <w:rFonts w:hint="default" w:ascii="Times New Roman" w:hAnsi="Times New Roman" w:eastAsia="宋体" w:cs="Times New Roman"/>
          <w:color w:val="000000" w:themeColor="text1"/>
          <w:sz w:val="28"/>
          <w:szCs w:val="28"/>
          <w:lang w:val="en-GB"/>
          <w14:textFill>
            <w14:solidFill>
              <w14:schemeClr w14:val="tx1"/>
            </w14:solidFill>
          </w14:textFill>
        </w:rPr>
        <w:t>根据安全评价单元的划分原则</w:t>
      </w:r>
      <w:r>
        <w:rPr>
          <w:rFonts w:hint="default" w:ascii="Times New Roman" w:hAnsi="Times New Roman" w:eastAsia="宋体" w:cs="Times New Roman"/>
          <w:color w:val="000000" w:themeColor="text1"/>
          <w:sz w:val="28"/>
          <w:szCs w:val="28"/>
          <w14:textFill>
            <w14:solidFill>
              <w14:schemeClr w14:val="tx1"/>
            </w14:solidFill>
          </w14:textFill>
        </w:rPr>
        <w:t>和依据</w:t>
      </w:r>
      <w:r>
        <w:rPr>
          <w:rFonts w:hint="default" w:ascii="Times New Roman" w:hAnsi="Times New Roman" w:eastAsia="宋体" w:cs="Times New Roman"/>
          <w:color w:val="000000" w:themeColor="text1"/>
          <w:sz w:val="28"/>
          <w:szCs w:val="28"/>
          <w:lang w:val="en-GB"/>
          <w14:textFill>
            <w14:solidFill>
              <w14:schemeClr w14:val="tx1"/>
            </w14:solidFill>
          </w14:textFill>
        </w:rPr>
        <w:t>，结合企业的实际情况及安全评价的需要，本次评价根据生产装置和物质特征的相关特点，将公司安全评价单元划分为</w:t>
      </w:r>
      <w:r>
        <w:rPr>
          <w:rFonts w:hint="eastAsia" w:ascii="Times New Roman" w:cs="Times New Roman"/>
          <w:color w:val="000000" w:themeColor="text1"/>
          <w:sz w:val="28"/>
          <w:szCs w:val="28"/>
          <w:lang w:val="en-GB" w:eastAsia="zh-CN"/>
          <w14:textFill>
            <w14:solidFill>
              <w14:schemeClr w14:val="tx1"/>
            </w14:solidFill>
          </w14:textFill>
        </w:rPr>
        <w:t>七</w:t>
      </w:r>
      <w:r>
        <w:rPr>
          <w:rFonts w:hint="default" w:ascii="Times New Roman" w:hAnsi="Times New Roman" w:eastAsia="宋体" w:cs="Times New Roman"/>
          <w:color w:val="000000" w:themeColor="text1"/>
          <w:sz w:val="28"/>
          <w:szCs w:val="28"/>
          <w:lang w:val="en-GB"/>
          <w14:textFill>
            <w14:solidFill>
              <w14:schemeClr w14:val="tx1"/>
            </w14:solidFill>
          </w14:textFill>
        </w:rPr>
        <w:t>个评价单元，</w:t>
      </w:r>
      <w:r>
        <w:rPr>
          <w:rFonts w:hint="default" w:ascii="Times New Roman" w:hAnsi="Times New Roman" w:eastAsia="宋体" w:cs="Times New Roman"/>
          <w:color w:val="000000" w:themeColor="text1"/>
          <w:sz w:val="28"/>
          <w:szCs w:val="28"/>
          <w14:textFill>
            <w14:solidFill>
              <w14:schemeClr w14:val="tx1"/>
            </w14:solidFill>
          </w14:textFill>
        </w:rPr>
        <w:t>具体的划分情况和使用的评价方法见表4-1。</w:t>
      </w:r>
    </w:p>
    <w:p w14:paraId="10F6F34A">
      <w:pPr>
        <w:keepNext w:val="0"/>
        <w:keepLines w:val="0"/>
        <w:pageBreakBefore w:val="0"/>
        <w:widowControl w:val="0"/>
        <w:kinsoku/>
        <w:wordWrap/>
        <w:overflowPunct/>
        <w:topLinePunct w:val="0"/>
        <w:autoSpaceDE/>
        <w:autoSpaceDN/>
        <w:bidi w:val="0"/>
        <w:adjustRightInd/>
        <w:snapToGrid w:val="0"/>
        <w:spacing w:line="520" w:lineRule="exact"/>
        <w:ind w:firstLine="482" w:firstLineChars="200"/>
        <w:jc w:val="center"/>
        <w:textAlignment w:val="auto"/>
        <w:rPr>
          <w:rFonts w:hint="default" w:ascii="Times New Roman" w:hAnsi="Times New Roman" w:cs="Times New Roman"/>
          <w:color w:val="000000" w:themeColor="text1"/>
          <w:lang w:val="en-GB"/>
          <w14:textFill>
            <w14:solidFill>
              <w14:schemeClr w14:val="tx1"/>
            </w14:solidFill>
          </w14:textFill>
        </w:rPr>
      </w:pPr>
      <w:r>
        <w:rPr>
          <w:rFonts w:hint="default" w:ascii="Times New Roman" w:hAnsi="Times New Roman" w:cs="Times New Roman"/>
          <w:b/>
          <w:bCs/>
          <w:color w:val="000000" w:themeColor="text1"/>
          <w:lang w:val="en-GB"/>
          <w14:textFill>
            <w14:solidFill>
              <w14:schemeClr w14:val="tx1"/>
            </w14:solidFill>
          </w14:textFill>
        </w:rPr>
        <w:t>表4-1 各单元采取安全评价方法对应表</w:t>
      </w:r>
    </w:p>
    <w:tbl>
      <w:tblPr>
        <w:tblStyle w:val="51"/>
        <w:tblW w:w="48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3086"/>
        <w:gridCol w:w="4652"/>
      </w:tblGrid>
      <w:tr w14:paraId="167F2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Align w:val="center"/>
          </w:tcPr>
          <w:p w14:paraId="6C1EF4DA">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序号</w:t>
            </w:r>
          </w:p>
        </w:tc>
        <w:tc>
          <w:tcPr>
            <w:tcW w:w="1834" w:type="pct"/>
            <w:vAlign w:val="center"/>
          </w:tcPr>
          <w:p w14:paraId="33AE7E21">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评价单元名称</w:t>
            </w:r>
          </w:p>
        </w:tc>
        <w:tc>
          <w:tcPr>
            <w:tcW w:w="2765" w:type="pct"/>
            <w:vAlign w:val="center"/>
          </w:tcPr>
          <w:p w14:paraId="12003CF6">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安全评价方法</w:t>
            </w:r>
          </w:p>
        </w:tc>
      </w:tr>
      <w:tr w14:paraId="4202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Align w:val="center"/>
          </w:tcPr>
          <w:p w14:paraId="511349B0">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w:t>
            </w:r>
          </w:p>
        </w:tc>
        <w:tc>
          <w:tcPr>
            <w:tcW w:w="1834" w:type="pct"/>
            <w:vAlign w:val="center"/>
          </w:tcPr>
          <w:p w14:paraId="23D4D6C5">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厂址及总平面布置</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评价</w:t>
            </w:r>
            <w:r>
              <w:rPr>
                <w:rFonts w:hint="default" w:ascii="Times New Roman" w:hAnsi="Times New Roman" w:cs="Times New Roman" w:eastAsiaTheme="minorEastAsia"/>
                <w:color w:val="000000" w:themeColor="text1"/>
                <w:sz w:val="21"/>
                <w:szCs w:val="21"/>
                <w14:textFill>
                  <w14:solidFill>
                    <w14:schemeClr w14:val="tx1"/>
                  </w14:solidFill>
                </w14:textFill>
              </w:rPr>
              <w:t xml:space="preserve">单元 </w:t>
            </w:r>
          </w:p>
        </w:tc>
        <w:tc>
          <w:tcPr>
            <w:tcW w:w="2765" w:type="pct"/>
            <w:vAlign w:val="center"/>
          </w:tcPr>
          <w:p w14:paraId="5FFE2655">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安全检查表</w:t>
            </w:r>
          </w:p>
        </w:tc>
      </w:tr>
      <w:tr w14:paraId="2E922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Align w:val="center"/>
          </w:tcPr>
          <w:p w14:paraId="3333D420">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w:t>
            </w:r>
          </w:p>
        </w:tc>
        <w:tc>
          <w:tcPr>
            <w:tcW w:w="1834" w:type="pct"/>
            <w:vAlign w:val="center"/>
          </w:tcPr>
          <w:p w14:paraId="7771D55D">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生产工艺</w:t>
            </w:r>
            <w:r>
              <w:rPr>
                <w:rFonts w:hint="eastAsia" w:ascii="Times New Roman" w:cs="Times New Roman" w:eastAsiaTheme="minorEastAsia"/>
                <w:color w:val="000000" w:themeColor="text1"/>
                <w:sz w:val="21"/>
                <w:szCs w:val="21"/>
                <w:lang w:val="en-US" w:eastAsia="zh-CN"/>
                <w14:textFill>
                  <w14:solidFill>
                    <w14:schemeClr w14:val="tx1"/>
                  </w14:solidFill>
                </w14:textFill>
              </w:rPr>
              <w:t>及设备设施</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评价</w:t>
            </w:r>
            <w:r>
              <w:rPr>
                <w:rFonts w:hint="default" w:ascii="Times New Roman" w:hAnsi="Times New Roman" w:cs="Times New Roman" w:eastAsiaTheme="minorEastAsia"/>
                <w:color w:val="000000" w:themeColor="text1"/>
                <w:sz w:val="21"/>
                <w:szCs w:val="21"/>
                <w14:textFill>
                  <w14:solidFill>
                    <w14:schemeClr w14:val="tx1"/>
                  </w14:solidFill>
                </w14:textFill>
              </w:rPr>
              <w:t>单元</w:t>
            </w:r>
          </w:p>
        </w:tc>
        <w:tc>
          <w:tcPr>
            <w:tcW w:w="2765" w:type="pct"/>
            <w:vAlign w:val="center"/>
          </w:tcPr>
          <w:p w14:paraId="79B7F511">
            <w:pPr>
              <w:pStyle w:val="67"/>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安全检查表</w:t>
            </w:r>
            <w:r>
              <w:rPr>
                <w:rFonts w:hint="eastAsia" w:ascii="Times New Roman" w:cs="Times New Roman" w:eastAsiaTheme="minorEastAsia"/>
                <w:color w:val="000000" w:themeColor="text1"/>
                <w:sz w:val="21"/>
                <w:szCs w:val="21"/>
                <w:lang w:eastAsia="zh-CN"/>
                <w14:textFill>
                  <w14:solidFill>
                    <w14:schemeClr w14:val="tx1"/>
                  </w14:solidFill>
                </w14:textFill>
              </w:rPr>
              <w:t>、</w:t>
            </w:r>
            <w:r>
              <w:rPr>
                <w:rFonts w:hint="eastAsia" w:ascii="Times New Roman" w:cs="Times New Roman" w:eastAsiaTheme="minorEastAsia"/>
                <w:color w:val="000000" w:themeColor="text1"/>
                <w:sz w:val="21"/>
                <w:szCs w:val="21"/>
                <w:lang w:val="en-US" w:eastAsia="zh-CN"/>
                <w14:textFill>
                  <w14:solidFill>
                    <w14:schemeClr w14:val="tx1"/>
                  </w14:solidFill>
                </w14:textFill>
              </w:rPr>
              <w:t>作业条件危险性分析</w:t>
            </w:r>
          </w:p>
        </w:tc>
      </w:tr>
      <w:tr w14:paraId="42C79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Align w:val="center"/>
          </w:tcPr>
          <w:p w14:paraId="340FCD31">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w:t>
            </w:r>
          </w:p>
        </w:tc>
        <w:tc>
          <w:tcPr>
            <w:tcW w:w="1834" w:type="pct"/>
            <w:shd w:val="clear" w:color="auto" w:fill="auto"/>
            <w:vAlign w:val="center"/>
          </w:tcPr>
          <w:p w14:paraId="1FFB62E3">
            <w:pPr>
              <w:pStyle w:val="67"/>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安全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防护设施评价单元</w:t>
            </w:r>
          </w:p>
        </w:tc>
        <w:tc>
          <w:tcPr>
            <w:tcW w:w="2765" w:type="pct"/>
            <w:shd w:val="clear" w:color="auto" w:fill="auto"/>
            <w:vAlign w:val="center"/>
          </w:tcPr>
          <w:p w14:paraId="1295E691">
            <w:pPr>
              <w:pStyle w:val="67"/>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安全检查表</w:t>
            </w:r>
          </w:p>
        </w:tc>
      </w:tr>
      <w:tr w14:paraId="0FC90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Align w:val="center"/>
          </w:tcPr>
          <w:p w14:paraId="0F9EDA25">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834" w:type="pct"/>
            <w:shd w:val="clear" w:color="auto" w:fill="auto"/>
            <w:vAlign w:val="center"/>
          </w:tcPr>
          <w:p w14:paraId="3023A502">
            <w:pPr>
              <w:pStyle w:val="67"/>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公用工程及辅助设施</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评价</w:t>
            </w:r>
            <w:r>
              <w:rPr>
                <w:rFonts w:hint="default" w:ascii="Times New Roman" w:hAnsi="Times New Roman" w:cs="Times New Roman" w:eastAsiaTheme="minorEastAsia"/>
                <w:color w:val="000000" w:themeColor="text1"/>
                <w:sz w:val="21"/>
                <w:szCs w:val="21"/>
                <w14:textFill>
                  <w14:solidFill>
                    <w14:schemeClr w14:val="tx1"/>
                  </w14:solidFill>
                </w14:textFill>
              </w:rPr>
              <w:t>单元</w:t>
            </w:r>
          </w:p>
        </w:tc>
        <w:tc>
          <w:tcPr>
            <w:tcW w:w="2765" w:type="pct"/>
            <w:shd w:val="clear" w:color="auto" w:fill="auto"/>
            <w:vAlign w:val="center"/>
          </w:tcPr>
          <w:p w14:paraId="6E9F37A0">
            <w:pPr>
              <w:pStyle w:val="67"/>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安全检查表</w:t>
            </w:r>
          </w:p>
        </w:tc>
      </w:tr>
      <w:tr w14:paraId="48969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Align w:val="center"/>
          </w:tcPr>
          <w:p w14:paraId="41D69062">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4</w:t>
            </w:r>
          </w:p>
        </w:tc>
        <w:tc>
          <w:tcPr>
            <w:tcW w:w="1834" w:type="pct"/>
            <w:shd w:val="clear" w:color="auto" w:fill="auto"/>
            <w:vAlign w:val="center"/>
          </w:tcPr>
          <w:p w14:paraId="266F2120">
            <w:pPr>
              <w:pStyle w:val="67"/>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安全生产管理评价单元</w:t>
            </w:r>
          </w:p>
        </w:tc>
        <w:tc>
          <w:tcPr>
            <w:tcW w:w="2765" w:type="pct"/>
            <w:shd w:val="clear" w:color="auto" w:fill="auto"/>
            <w:vAlign w:val="center"/>
          </w:tcPr>
          <w:p w14:paraId="01A30D95">
            <w:pPr>
              <w:pStyle w:val="67"/>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安全检查表</w:t>
            </w:r>
          </w:p>
        </w:tc>
      </w:tr>
      <w:tr w14:paraId="14CB4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Align w:val="center"/>
          </w:tcPr>
          <w:p w14:paraId="39824FDD">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w:t>
            </w:r>
          </w:p>
        </w:tc>
        <w:tc>
          <w:tcPr>
            <w:tcW w:w="1834" w:type="pct"/>
            <w:shd w:val="clear" w:color="auto" w:fill="auto"/>
            <w:vAlign w:val="center"/>
          </w:tcPr>
          <w:p w14:paraId="1AE1796C">
            <w:pPr>
              <w:pStyle w:val="67"/>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重大事故隐患</w:t>
            </w:r>
            <w:r>
              <w:rPr>
                <w:rFonts w:hint="eastAsia" w:ascii="Times New Roman" w:cs="Times New Roman" w:eastAsiaTheme="minorEastAsia"/>
                <w:color w:val="000000" w:themeColor="text1"/>
                <w:sz w:val="21"/>
                <w:szCs w:val="21"/>
                <w:lang w:val="en-US" w:eastAsia="zh-CN"/>
                <w14:textFill>
                  <w14:solidFill>
                    <w14:schemeClr w14:val="tx1"/>
                  </w14:solidFill>
                </w14:textFill>
              </w:rPr>
              <w:t>评价单元</w:t>
            </w:r>
          </w:p>
        </w:tc>
        <w:tc>
          <w:tcPr>
            <w:tcW w:w="2765" w:type="pct"/>
            <w:shd w:val="clear" w:color="auto" w:fill="auto"/>
            <w:vAlign w:val="center"/>
          </w:tcPr>
          <w:p w14:paraId="0834F3D6">
            <w:pPr>
              <w:pStyle w:val="67"/>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安全检查表</w:t>
            </w:r>
          </w:p>
        </w:tc>
      </w:tr>
      <w:tr w14:paraId="5CFD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0" w:type="pct"/>
            <w:vAlign w:val="center"/>
          </w:tcPr>
          <w:p w14:paraId="054D6D12">
            <w:pPr>
              <w:pStyle w:val="67"/>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6</w:t>
            </w:r>
          </w:p>
        </w:tc>
        <w:tc>
          <w:tcPr>
            <w:tcW w:w="1834" w:type="pct"/>
            <w:shd w:val="clear" w:color="auto" w:fill="auto"/>
            <w:vAlign w:val="center"/>
          </w:tcPr>
          <w:p w14:paraId="01328578">
            <w:pPr>
              <w:pStyle w:val="67"/>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有限空间作业</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评价</w:t>
            </w:r>
            <w:r>
              <w:rPr>
                <w:rFonts w:hint="default" w:ascii="Times New Roman" w:hAnsi="Times New Roman" w:cs="Times New Roman" w:eastAsiaTheme="minorEastAsia"/>
                <w:color w:val="000000" w:themeColor="text1"/>
                <w:sz w:val="21"/>
                <w:szCs w:val="21"/>
                <w14:textFill>
                  <w14:solidFill>
                    <w14:schemeClr w14:val="tx1"/>
                  </w14:solidFill>
                </w14:textFill>
              </w:rPr>
              <w:t>单元</w:t>
            </w:r>
          </w:p>
        </w:tc>
        <w:tc>
          <w:tcPr>
            <w:tcW w:w="2765" w:type="pct"/>
            <w:shd w:val="clear" w:color="auto" w:fill="auto"/>
            <w:vAlign w:val="center"/>
          </w:tcPr>
          <w:p w14:paraId="4509DC44">
            <w:pPr>
              <w:pStyle w:val="67"/>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安全检查表</w:t>
            </w:r>
          </w:p>
        </w:tc>
      </w:tr>
    </w:tbl>
    <w:p w14:paraId="1ADC8402">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564" w:name="_Toc207527411"/>
      <w:bookmarkStart w:id="565" w:name="_Toc211837019"/>
      <w:bookmarkStart w:id="566" w:name="_Toc213410607"/>
      <w:bookmarkStart w:id="567" w:name="_Toc21719"/>
      <w:bookmarkStart w:id="568" w:name="_Toc231978508"/>
      <w:bookmarkStart w:id="569" w:name="_Toc30651"/>
      <w:bookmarkStart w:id="570" w:name="_Toc233668309"/>
      <w:bookmarkStart w:id="571" w:name="_Toc20853"/>
      <w:bookmarkStart w:id="572" w:name="_Toc211501735"/>
      <w:bookmarkStart w:id="573" w:name="_Toc24593"/>
      <w:bookmarkStart w:id="574" w:name="_Toc195156256"/>
      <w:bookmarkStart w:id="575" w:name="_Toc26599"/>
      <w:bookmarkStart w:id="576" w:name="_Toc15506"/>
      <w:bookmarkStart w:id="577" w:name="_Toc27354"/>
      <w:r>
        <w:rPr>
          <w:rFonts w:hint="default" w:ascii="Times New Roman" w:hAnsi="Times New Roman" w:eastAsia="楷体" w:cs="Times New Roman"/>
          <w:color w:val="000000" w:themeColor="text1"/>
          <w14:textFill>
            <w14:solidFill>
              <w14:schemeClr w14:val="tx1"/>
            </w14:solidFill>
          </w14:textFill>
        </w:rPr>
        <w:t>4.3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评价方法</w:t>
      </w:r>
      <w:bookmarkEnd w:id="564"/>
      <w:bookmarkEnd w:id="565"/>
      <w:bookmarkEnd w:id="566"/>
      <w:bookmarkEnd w:id="567"/>
      <w:bookmarkEnd w:id="568"/>
      <w:bookmarkEnd w:id="569"/>
      <w:bookmarkEnd w:id="570"/>
      <w:bookmarkEnd w:id="571"/>
      <w:bookmarkEnd w:id="572"/>
      <w:bookmarkEnd w:id="573"/>
      <w:bookmarkEnd w:id="574"/>
      <w:bookmarkEnd w:id="575"/>
      <w:r>
        <w:rPr>
          <w:rFonts w:hint="default" w:ascii="Times New Roman" w:hAnsi="Times New Roman" w:eastAsia="楷体" w:cs="Times New Roman"/>
          <w:color w:val="000000" w:themeColor="text1"/>
          <w14:textFill>
            <w14:solidFill>
              <w14:schemeClr w14:val="tx1"/>
            </w14:solidFill>
          </w14:textFill>
        </w:rPr>
        <w:t>的确定</w:t>
      </w:r>
      <w:bookmarkEnd w:id="576"/>
      <w:bookmarkEnd w:id="577"/>
    </w:p>
    <w:p w14:paraId="2FF63E63">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根据评价方法选取应遵循充分性、适应性、系统性、针对性和合理性的原则，结合该建设项目的特点，本报告选用安全检查表（SCA）、作业条件危险性分析法等</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en-GB"/>
          <w14:textFill>
            <w14:solidFill>
              <w14:schemeClr w14:val="tx1"/>
            </w14:solidFill>
          </w14:textFill>
        </w:rPr>
        <w:t>种安全评价方法对该工程项目危险、有害因素及危险、有害程度进行分析评价。</w:t>
      </w:r>
    </w:p>
    <w:p w14:paraId="7D1C8D8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在安全评价过程中，为检查该厂址及总平面布置、生产工艺和设备设施、</w:t>
      </w:r>
      <w:r>
        <w:rPr>
          <w:rFonts w:hint="eastAsia" w:ascii="宋体" w:hAnsi="宋体" w:eastAsia="宋体" w:cs="宋体"/>
          <w:color w:val="000000" w:themeColor="text1"/>
          <w:sz w:val="28"/>
          <w:szCs w:val="28"/>
          <w:lang w:val="en-US" w:eastAsia="zh-CN"/>
          <w14:textFill>
            <w14:solidFill>
              <w14:schemeClr w14:val="tx1"/>
            </w14:solidFill>
          </w14:textFill>
        </w:rPr>
        <w:t>安全防护设施、</w:t>
      </w:r>
      <w:r>
        <w:rPr>
          <w:rFonts w:hint="eastAsia" w:ascii="宋体" w:hAnsi="宋体" w:eastAsia="宋体" w:cs="宋体"/>
          <w:color w:val="000000" w:themeColor="text1"/>
          <w:sz w:val="28"/>
          <w:szCs w:val="28"/>
          <w:lang w:val="en-GB"/>
          <w14:textFill>
            <w14:solidFill>
              <w14:schemeClr w14:val="tx1"/>
            </w14:solidFill>
          </w14:textFill>
        </w:rPr>
        <w:t>公用工程及辅助设施</w:t>
      </w:r>
      <w:r>
        <w:rPr>
          <w:rFonts w:hint="eastAsia" w:ascii="宋体" w:hAnsi="宋体" w:eastAsia="宋体" w:cs="宋体"/>
          <w:color w:val="000000" w:themeColor="text1"/>
          <w:sz w:val="28"/>
          <w:szCs w:val="28"/>
          <w:lang w:val="en-GB" w:eastAsia="zh-CN"/>
          <w14:textFill>
            <w14:solidFill>
              <w14:schemeClr w14:val="tx1"/>
            </w14:solidFill>
          </w14:textFill>
        </w:rPr>
        <w:t>、</w:t>
      </w:r>
      <w:r>
        <w:rPr>
          <w:rFonts w:hint="eastAsia" w:ascii="宋体" w:hAnsi="宋体" w:eastAsia="宋体" w:cs="宋体"/>
          <w:color w:val="000000" w:themeColor="text1"/>
          <w:sz w:val="28"/>
          <w:szCs w:val="28"/>
          <w:lang w:val="en-GB"/>
          <w14:textFill>
            <w14:solidFill>
              <w14:schemeClr w14:val="tx1"/>
            </w14:solidFill>
          </w14:textFill>
        </w:rPr>
        <w:t>安全管理单元</w:t>
      </w:r>
      <w:r>
        <w:rPr>
          <w:rFonts w:hint="eastAsia" w:ascii="宋体" w:hAnsi="宋体" w:eastAsia="宋体" w:cs="宋体"/>
          <w:color w:val="000000" w:themeColor="text1"/>
          <w:sz w:val="28"/>
          <w:szCs w:val="28"/>
          <w:lang w:val="en-GB"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重大事故隐患、</w:t>
      </w:r>
      <w:r>
        <w:rPr>
          <w:rFonts w:hint="eastAsia" w:ascii="宋体" w:hAnsi="宋体" w:eastAsia="宋体" w:cs="宋体"/>
          <w:color w:val="000000" w:themeColor="text1"/>
          <w:sz w:val="28"/>
          <w:szCs w:val="28"/>
          <w:lang w:val="en-GB"/>
          <w14:textFill>
            <w14:solidFill>
              <w14:schemeClr w14:val="tx1"/>
            </w14:solidFill>
          </w14:textFill>
        </w:rPr>
        <w:t>有限空间作业与国家相关法律、法规、规范及标准要求的符合性，因此选用了安全检查表，以达到突出重点、避免遗漏的目的。</w:t>
      </w:r>
    </w:p>
    <w:p w14:paraId="6D96F3FA">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在生产操作过程中使用作业条件危险性分析法（LEC）对项目固有的危险程度及风险程度进行评价，达到细化作业步骤、作业区域和危险源的目的。</w:t>
      </w:r>
    </w:p>
    <w:p w14:paraId="2C8EB173">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578" w:name="_Toc211837020"/>
      <w:bookmarkStart w:id="579" w:name="_Toc195156257"/>
      <w:bookmarkStart w:id="580" w:name="_Toc231978509"/>
      <w:bookmarkStart w:id="581" w:name="_Toc211501736"/>
      <w:bookmarkStart w:id="582" w:name="_Toc29841"/>
      <w:bookmarkStart w:id="583" w:name="_Toc213410608"/>
      <w:bookmarkStart w:id="584" w:name="_Toc19469"/>
      <w:bookmarkStart w:id="585" w:name="_Toc20638"/>
      <w:bookmarkStart w:id="586" w:name="_Toc19971"/>
      <w:bookmarkStart w:id="587" w:name="_Toc207527412"/>
      <w:bookmarkStart w:id="588" w:name="_Toc4438"/>
      <w:bookmarkStart w:id="589" w:name="_Toc233668310"/>
      <w:bookmarkStart w:id="590" w:name="_Toc22758"/>
      <w:bookmarkStart w:id="591" w:name="_Toc31908"/>
      <w:r>
        <w:rPr>
          <w:rFonts w:hint="default" w:ascii="Times New Roman" w:hAnsi="Times New Roman" w:eastAsia="楷体" w:cs="Times New Roman"/>
          <w:color w:val="000000" w:themeColor="text1"/>
          <w14:textFill>
            <w14:solidFill>
              <w14:schemeClr w14:val="tx1"/>
            </w14:solidFill>
          </w14:textFill>
        </w:rPr>
        <w:t>4.4</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评价方法</w:t>
      </w:r>
      <w:bookmarkEnd w:id="578"/>
      <w:bookmarkEnd w:id="579"/>
      <w:bookmarkEnd w:id="580"/>
      <w:bookmarkEnd w:id="581"/>
      <w:bookmarkEnd w:id="582"/>
      <w:bookmarkEnd w:id="583"/>
      <w:bookmarkEnd w:id="584"/>
      <w:bookmarkEnd w:id="585"/>
      <w:bookmarkEnd w:id="586"/>
      <w:bookmarkEnd w:id="587"/>
      <w:bookmarkEnd w:id="588"/>
      <w:bookmarkEnd w:id="589"/>
      <w:r>
        <w:rPr>
          <w:rFonts w:hint="default" w:ascii="Times New Roman" w:hAnsi="Times New Roman" w:eastAsia="楷体" w:cs="Times New Roman"/>
          <w:color w:val="000000" w:themeColor="text1"/>
          <w14:textFill>
            <w14:solidFill>
              <w14:schemeClr w14:val="tx1"/>
            </w14:solidFill>
          </w14:textFill>
        </w:rPr>
        <w:t>介绍</w:t>
      </w:r>
      <w:bookmarkEnd w:id="590"/>
      <w:bookmarkEnd w:id="591"/>
    </w:p>
    <w:p w14:paraId="18B94DCD">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592" w:name="_Toc278151416"/>
      <w:bookmarkStart w:id="593" w:name="_Toc216867557"/>
      <w:bookmarkStart w:id="594" w:name="_Toc61474458"/>
      <w:bookmarkStart w:id="595" w:name="_Toc15758"/>
      <w:bookmarkStart w:id="596" w:name="_Toc23342"/>
      <w:bookmarkStart w:id="597" w:name="_Toc30001435"/>
      <w:r>
        <w:rPr>
          <w:rFonts w:hint="default" w:ascii="Times New Roman" w:hAnsi="Times New Roman" w:eastAsia="黑体"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eastAsia="黑体" w:cs="Times New Roman"/>
          <w:color w:val="000000" w:themeColor="text1"/>
          <w:lang w:val="en-US" w:eastAsia="zh-CN"/>
          <w14:textFill>
            <w14:solidFill>
              <w14:schemeClr w14:val="tx1"/>
            </w14:solidFill>
          </w14:textFill>
        </w:rPr>
        <w:t>1安全检查表法（SCA）</w:t>
      </w:r>
      <w:bookmarkEnd w:id="592"/>
      <w:bookmarkEnd w:id="593"/>
      <w:bookmarkEnd w:id="594"/>
      <w:bookmarkEnd w:id="595"/>
      <w:bookmarkEnd w:id="596"/>
      <w:bookmarkEnd w:id="597"/>
    </w:p>
    <w:p w14:paraId="1D50EA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检查表评价方法简便灵活，是安全评价的常规方法，具有简便、实用、有效的特点。依据国家、地区、行业等相关的标准、法规编制检查表，判断是否、有无，找出缺陷、疏漏、隐患、问题。所以对项目总体和各单元的预评价中均运用了这一方法。本评价中安全检查表的内容主要有三部分：</w:t>
      </w:r>
    </w:p>
    <w:p w14:paraId="075862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①检查项目和要求：针对该单元功能、工艺、设备等固有或潜在的主要危险危害因素，逐条列出检查的项目和国家有关劳动安全卫生方面的法律、法规、标准以及行业规定中对工程设计、施工、运行管理的各种具体要求。</w:t>
      </w:r>
    </w:p>
    <w:p w14:paraId="25BE3F4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②检查情况：针对检查项目和要求，通过审查文件资料，勘察现场，分析预测项目建成后与法律法规、标准规范的符合性，从而判断项目建成后的风险度。</w:t>
      </w:r>
    </w:p>
    <w:p w14:paraId="5BA3992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③检查结论：针对检查项目，根据文件资料、现场调查情况作出与要求符合、不符合的结论。</w:t>
      </w:r>
      <w:bookmarkEnd w:id="560"/>
      <w:bookmarkEnd w:id="561"/>
      <w:bookmarkEnd w:id="562"/>
      <w:bookmarkEnd w:id="563"/>
    </w:p>
    <w:p w14:paraId="3FE0E6E9">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598" w:name="_Toc278151418"/>
      <w:bookmarkStart w:id="599" w:name="_Toc211237884"/>
      <w:bookmarkStart w:id="600" w:name="_Toc30001436"/>
      <w:bookmarkStart w:id="601" w:name="_Toc201697625"/>
      <w:bookmarkStart w:id="602" w:name="_Toc61474459"/>
      <w:bookmarkStart w:id="603" w:name="_Toc8426"/>
      <w:bookmarkStart w:id="604" w:name="_Toc13212"/>
      <w:bookmarkStart w:id="605" w:name="_Toc216867563"/>
      <w:bookmarkStart w:id="606" w:name="_Toc201697626"/>
      <w:r>
        <w:rPr>
          <w:rFonts w:hint="default" w:ascii="Times New Roman" w:hAnsi="Times New Roman" w:eastAsia="黑体"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eastAsia="黑体"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eastAsia="黑体" w:cs="Times New Roman"/>
          <w:color w:val="000000" w:themeColor="text1"/>
          <w:lang w:val="en-US" w:eastAsia="zh-CN"/>
          <w14:textFill>
            <w14:solidFill>
              <w14:schemeClr w14:val="tx1"/>
            </w14:solidFill>
          </w14:textFill>
        </w:rPr>
        <w:t>作业条件危险性评价法（LEC）</w:t>
      </w:r>
      <w:bookmarkEnd w:id="598"/>
      <w:bookmarkEnd w:id="599"/>
      <w:bookmarkEnd w:id="600"/>
      <w:bookmarkEnd w:id="601"/>
      <w:bookmarkEnd w:id="602"/>
      <w:bookmarkEnd w:id="603"/>
      <w:bookmarkEnd w:id="604"/>
    </w:p>
    <w:p w14:paraId="0A704E99">
      <w:pPr>
        <w:keepNext w:val="0"/>
        <w:keepLines w:val="0"/>
        <w:pageBreakBefore w:val="0"/>
        <w:widowControl w:val="0"/>
        <w:kinsoku/>
        <w:wordWrap/>
        <w:overflowPunct/>
        <w:topLinePunct w:val="0"/>
        <w:autoSpaceDE w:val="0"/>
        <w:autoSpaceDN w:val="0"/>
        <w:bidi w:val="0"/>
        <w:adjustRightInd/>
        <w:snapToGrid/>
        <w:spacing w:line="500" w:lineRule="exact"/>
        <w:ind w:right="43"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作业条件危险性评价法是一种简便易行的评价方法，用来评价人们在某种具有潜在危险环境中作业的危险性。该法以被评价的环境与某些作为参考的环境进行比较为基础，采用专家“评分”的办法确定各种自变量的分数值，最后根据总的危险分数值来评价其危险性。该法已用于一些工业企业危险性的评价，取得较好效果。</w:t>
      </w:r>
    </w:p>
    <w:p w14:paraId="1CDE34D5">
      <w:pPr>
        <w:keepNext w:val="0"/>
        <w:keepLines w:val="0"/>
        <w:pageBreakBefore w:val="0"/>
        <w:widowControl w:val="0"/>
        <w:kinsoku/>
        <w:wordWrap/>
        <w:overflowPunct/>
        <w:topLinePunct w:val="0"/>
        <w:autoSpaceDE w:val="0"/>
        <w:autoSpaceDN w:val="0"/>
        <w:bidi w:val="0"/>
        <w:adjustRightInd/>
        <w:snapToGrid/>
        <w:spacing w:line="500" w:lineRule="exact"/>
        <w:ind w:left="206" w:leftChars="86" w:right="101"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格雷厄姆和金尼认为影响危险性的主要因素有三个：</w:t>
      </w:r>
    </w:p>
    <w:p w14:paraId="047AE5B5">
      <w:pPr>
        <w:keepNext w:val="0"/>
        <w:keepLines w:val="0"/>
        <w:pageBreakBefore w:val="0"/>
        <w:widowControl w:val="0"/>
        <w:kinsoku/>
        <w:wordWrap/>
        <w:overflowPunct/>
        <w:topLinePunct w:val="0"/>
        <w:autoSpaceDE w:val="0"/>
        <w:autoSpaceDN w:val="0"/>
        <w:bidi w:val="0"/>
        <w:adjustRightInd/>
        <w:snapToGrid/>
        <w:spacing w:line="500" w:lineRule="exact"/>
        <w:ind w:left="604" w:firstLine="560" w:firstLineChars="200"/>
        <w:jc w:val="left"/>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1.发生事故或危险事件的可能性；</w:t>
      </w:r>
    </w:p>
    <w:p w14:paraId="31433F59">
      <w:pPr>
        <w:keepNext w:val="0"/>
        <w:keepLines w:val="0"/>
        <w:pageBreakBefore w:val="0"/>
        <w:widowControl w:val="0"/>
        <w:kinsoku/>
        <w:wordWrap/>
        <w:overflowPunct/>
        <w:topLinePunct w:val="0"/>
        <w:autoSpaceDE w:val="0"/>
        <w:autoSpaceDN w:val="0"/>
        <w:bidi w:val="0"/>
        <w:adjustRightInd/>
        <w:snapToGrid/>
        <w:spacing w:line="500" w:lineRule="exact"/>
        <w:ind w:left="604" w:right="19" w:firstLine="560" w:firstLineChars="200"/>
        <w:jc w:val="left"/>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2.暴露于这种危险环境的频率；</w:t>
      </w:r>
    </w:p>
    <w:p w14:paraId="1136E774">
      <w:pPr>
        <w:keepNext w:val="0"/>
        <w:keepLines w:val="0"/>
        <w:pageBreakBefore w:val="0"/>
        <w:widowControl w:val="0"/>
        <w:kinsoku/>
        <w:wordWrap/>
        <w:overflowPunct/>
        <w:topLinePunct w:val="0"/>
        <w:autoSpaceDE w:val="0"/>
        <w:autoSpaceDN w:val="0"/>
        <w:bidi w:val="0"/>
        <w:adjustRightInd/>
        <w:snapToGrid/>
        <w:spacing w:line="500" w:lineRule="exact"/>
        <w:ind w:left="604" w:right="19" w:firstLine="560" w:firstLineChars="200"/>
        <w:jc w:val="left"/>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3.事故一旦发生时可能产生的后果。</w:t>
      </w:r>
    </w:p>
    <w:p w14:paraId="7F5B7119">
      <w:pPr>
        <w:keepNext w:val="0"/>
        <w:keepLines w:val="0"/>
        <w:pageBreakBefore w:val="0"/>
        <w:widowControl w:val="0"/>
        <w:kinsoku/>
        <w:wordWrap/>
        <w:overflowPunct/>
        <w:topLinePunct w:val="0"/>
        <w:autoSpaceDE w:val="0"/>
        <w:autoSpaceDN w:val="0"/>
        <w:bidi w:val="0"/>
        <w:adjustRightInd/>
        <w:snapToGrid/>
        <w:spacing w:line="500" w:lineRule="exact"/>
        <w:ind w:left="14" w:right="19" w:firstLine="560" w:firstLineChars="200"/>
        <w:jc w:val="left"/>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前两者可以看作是危险概率，后者则相当于危险严重度。危险性可以下式来表达：</w:t>
      </w:r>
    </w:p>
    <w:p w14:paraId="54AAD76A">
      <w:pPr>
        <w:keepNext w:val="0"/>
        <w:keepLines w:val="0"/>
        <w:pageBreakBefore w:val="0"/>
        <w:widowControl w:val="0"/>
        <w:tabs>
          <w:tab w:val="left" w:pos="2690"/>
        </w:tabs>
        <w:kinsoku/>
        <w:wordWrap/>
        <w:overflowPunct/>
        <w:topLinePunct w:val="0"/>
        <w:autoSpaceDE w:val="0"/>
        <w:autoSpaceDN w:val="0"/>
        <w:bidi w:val="0"/>
        <w:adjustRightInd/>
        <w:snapToGrid/>
        <w:spacing w:line="500" w:lineRule="exact"/>
        <w:ind w:left="14" w:right="4" w:firstLine="560" w:firstLineChars="200"/>
        <w:jc w:val="both"/>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危险性（D）= L×E×C</w:t>
      </w:r>
    </w:p>
    <w:p w14:paraId="0619D455">
      <w:pPr>
        <w:keepNext w:val="0"/>
        <w:keepLines w:val="0"/>
        <w:pageBreakBefore w:val="0"/>
        <w:widowControl w:val="0"/>
        <w:tabs>
          <w:tab w:val="center" w:pos="2990"/>
        </w:tabs>
        <w:kinsoku/>
        <w:wordWrap/>
        <w:overflowPunct/>
        <w:topLinePunct w:val="0"/>
        <w:autoSpaceDE w:val="0"/>
        <w:autoSpaceDN w:val="0"/>
        <w:bidi w:val="0"/>
        <w:adjustRightInd/>
        <w:snapToGrid/>
        <w:spacing w:line="500" w:lineRule="exact"/>
        <w:ind w:left="17" w:leftChars="7" w:right="4"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式中：L 事故或危险事件发生的可能性；</w:t>
      </w:r>
    </w:p>
    <w:p w14:paraId="6B575FF7">
      <w:pPr>
        <w:keepNext w:val="0"/>
        <w:keepLines w:val="0"/>
        <w:pageBreakBefore w:val="0"/>
        <w:widowControl w:val="0"/>
        <w:tabs>
          <w:tab w:val="center" w:pos="2990"/>
        </w:tabs>
        <w:kinsoku/>
        <w:wordWrap/>
        <w:overflowPunct/>
        <w:topLinePunct w:val="0"/>
        <w:autoSpaceDE w:val="0"/>
        <w:autoSpaceDN w:val="0"/>
        <w:bidi w:val="0"/>
        <w:adjustRightInd/>
        <w:snapToGrid/>
        <w:spacing w:line="500" w:lineRule="exact"/>
        <w:ind w:left="17" w:leftChars="7" w:right="4"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E 暴露于危险环境的频率；</w:t>
      </w:r>
    </w:p>
    <w:p w14:paraId="7776ACB5">
      <w:pPr>
        <w:keepNext w:val="0"/>
        <w:keepLines w:val="0"/>
        <w:pageBreakBefore w:val="0"/>
        <w:widowControl w:val="0"/>
        <w:tabs>
          <w:tab w:val="center" w:pos="2990"/>
        </w:tabs>
        <w:kinsoku/>
        <w:wordWrap/>
        <w:overflowPunct/>
        <w:topLinePunct w:val="0"/>
        <w:autoSpaceDE w:val="0"/>
        <w:autoSpaceDN w:val="0"/>
        <w:bidi w:val="0"/>
        <w:adjustRightInd/>
        <w:snapToGrid/>
        <w:spacing w:line="500" w:lineRule="exact"/>
        <w:ind w:left="17" w:leftChars="7" w:right="4"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C 危险严重度。</w:t>
      </w:r>
    </w:p>
    <w:p w14:paraId="0B359867">
      <w:pPr>
        <w:keepNext w:val="0"/>
        <w:keepLines w:val="0"/>
        <w:pageBreakBefore w:val="0"/>
        <w:widowControl w:val="0"/>
        <w:kinsoku/>
        <w:wordWrap/>
        <w:overflowPunct/>
        <w:topLinePunct w:val="0"/>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1.可能性因素 L </w:t>
      </w:r>
    </w:p>
    <w:p w14:paraId="50EA8F9D">
      <w:pPr>
        <w:keepNext w:val="0"/>
        <w:keepLines w:val="0"/>
        <w:pageBreakBefore w:val="0"/>
        <w:widowControl w:val="0"/>
        <w:kinsoku/>
        <w:wordWrap/>
        <w:overflowPunct/>
        <w:topLinePunct w:val="0"/>
        <w:bidi w:val="0"/>
        <w:adjustRightInd/>
        <w:snapToGrid/>
        <w:spacing w:line="500" w:lineRule="exact"/>
        <w:ind w:firstLine="560" w:firstLineChars="200"/>
        <w:textAlignment w:val="auto"/>
        <w:rPr>
          <w:rFonts w:hint="default" w:ascii="Times New Roman" w:hAnsi="Times New Roman" w:cs="Times New Roman"/>
          <w:b/>
          <w:bCs/>
          <w:color w:val="000000" w:themeColor="text1"/>
          <w:kern w:val="0"/>
          <w:szCs w:val="2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事故或危险事件发生的可能性是与它们实际的数学概率相关联的。绝对不可能发生的事件的概率为0，而必然发生的事件的概率则为1，但在实际情况中，绝对不可能发生的事故是不存在的，只能说可能性极小，概率趋于0，所以，可能性因素L的分数值取值范围为1～10具体见表4-2。</w:t>
      </w:r>
    </w:p>
    <w:p w14:paraId="36177606">
      <w:pPr>
        <w:autoSpaceDE w:val="0"/>
        <w:autoSpaceDN w:val="0"/>
        <w:adjustRightInd w:val="0"/>
        <w:snapToGrid w:val="0"/>
        <w:spacing w:line="500" w:lineRule="exact"/>
        <w:jc w:val="center"/>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表4-2  事故或危险事件发生的可能性 L 的分数值表</w:t>
      </w:r>
    </w:p>
    <w:tbl>
      <w:tblPr>
        <w:tblStyle w:val="51"/>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7"/>
        <w:gridCol w:w="5690"/>
      </w:tblGrid>
      <w:tr w14:paraId="00AD2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tcPr>
          <w:p w14:paraId="6150F330">
            <w:pPr>
              <w:autoSpaceDE w:val="0"/>
              <w:autoSpaceDN w:val="0"/>
              <w:adjustRightInd w:val="0"/>
              <w:snapToGrid w:val="0"/>
              <w:spacing w:line="300" w:lineRule="exact"/>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分数值</w:t>
            </w:r>
          </w:p>
        </w:tc>
        <w:tc>
          <w:tcPr>
            <w:tcW w:w="5690" w:type="dxa"/>
          </w:tcPr>
          <w:p w14:paraId="26EF0DD3">
            <w:pPr>
              <w:autoSpaceDE w:val="0"/>
              <w:autoSpaceDN w:val="0"/>
              <w:adjustRightInd w:val="0"/>
              <w:snapToGrid w:val="0"/>
              <w:spacing w:line="300" w:lineRule="exact"/>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事故或危险事件发生的可能性</w:t>
            </w:r>
          </w:p>
        </w:tc>
      </w:tr>
      <w:tr w14:paraId="0087A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11C344AF">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5690" w:type="dxa"/>
          </w:tcPr>
          <w:p w14:paraId="6F8BE76E">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完全会被预料到</w:t>
            </w:r>
          </w:p>
        </w:tc>
      </w:tr>
      <w:tr w14:paraId="6FB71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5F761664">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w:t>
            </w:r>
          </w:p>
        </w:tc>
        <w:tc>
          <w:tcPr>
            <w:tcW w:w="5690" w:type="dxa"/>
          </w:tcPr>
          <w:p w14:paraId="6C3D66B0">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相当可能</w:t>
            </w:r>
          </w:p>
        </w:tc>
      </w:tr>
      <w:tr w14:paraId="00931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09F72E62">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w:t>
            </w:r>
          </w:p>
        </w:tc>
        <w:tc>
          <w:tcPr>
            <w:tcW w:w="5690" w:type="dxa"/>
          </w:tcPr>
          <w:p w14:paraId="0B9EACF2">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不经常，但可能</w:t>
            </w:r>
          </w:p>
        </w:tc>
      </w:tr>
      <w:tr w14:paraId="70E71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6C6793FC">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5690" w:type="dxa"/>
          </w:tcPr>
          <w:p w14:paraId="3C57AB48">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完全意外，极少可能</w:t>
            </w:r>
          </w:p>
        </w:tc>
      </w:tr>
      <w:tr w14:paraId="24EF1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2F9D59F9">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0.5</w:t>
            </w:r>
          </w:p>
        </w:tc>
        <w:tc>
          <w:tcPr>
            <w:tcW w:w="5690" w:type="dxa"/>
          </w:tcPr>
          <w:p w14:paraId="715CE01F">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可以设想</w:t>
            </w:r>
          </w:p>
        </w:tc>
      </w:tr>
      <w:tr w14:paraId="0A709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5A6184D0">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0.2</w:t>
            </w:r>
          </w:p>
        </w:tc>
        <w:tc>
          <w:tcPr>
            <w:tcW w:w="5690" w:type="dxa"/>
          </w:tcPr>
          <w:p w14:paraId="7525519E">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极不可能</w:t>
            </w:r>
          </w:p>
        </w:tc>
      </w:tr>
      <w:tr w14:paraId="123CA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0226F1E1">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0.1</w:t>
            </w:r>
          </w:p>
        </w:tc>
        <w:tc>
          <w:tcPr>
            <w:tcW w:w="5690" w:type="dxa"/>
          </w:tcPr>
          <w:p w14:paraId="0FFAD811">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实际上不可能</w:t>
            </w:r>
          </w:p>
        </w:tc>
      </w:tr>
    </w:tbl>
    <w:p w14:paraId="7C9DF51A">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2.暴露于危险环境的频率 E</w:t>
      </w:r>
    </w:p>
    <w:p w14:paraId="7FC86A46">
      <w:pPr>
        <w:autoSpaceDE w:val="0"/>
        <w:autoSpaceDN w:val="0"/>
        <w:adjustRightInd w:val="0"/>
        <w:snapToGrid w:val="0"/>
        <w:spacing w:line="500" w:lineRule="exact"/>
        <w:ind w:right="641"/>
        <w:jc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 xml:space="preserve">  </w:t>
      </w:r>
      <w:r>
        <w:rPr>
          <w:rFonts w:hint="eastAsia" w:ascii="宋体" w:hAnsi="宋体" w:eastAsia="宋体" w:cs="宋体"/>
          <w:color w:val="000000" w:themeColor="text1"/>
          <w:kern w:val="0"/>
          <w:sz w:val="28"/>
          <w:szCs w:val="28"/>
          <w14:textFill>
            <w14:solidFill>
              <w14:schemeClr w14:val="tx1"/>
            </w14:solidFill>
          </w14:textFill>
        </w:rPr>
        <w:t>操作人员出现在危险环境中的时间越多，受到伤害的可能性就越大，相应的危险性也就越大。连续出现在危险环境的情况其频率分为10，非常罕见地暴露于危险环境则为0.5。具体分数值见表</w:t>
      </w:r>
    </w:p>
    <w:p w14:paraId="532DA68D">
      <w:pPr>
        <w:autoSpaceDE w:val="0"/>
        <w:autoSpaceDN w:val="0"/>
        <w:adjustRightInd w:val="0"/>
        <w:snapToGrid w:val="0"/>
        <w:spacing w:line="500" w:lineRule="exact"/>
        <w:ind w:right="641"/>
        <w:jc w:val="both"/>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4-3。</w:t>
      </w:r>
    </w:p>
    <w:p w14:paraId="0E4BC43F">
      <w:pPr>
        <w:autoSpaceDE w:val="0"/>
        <w:autoSpaceDN w:val="0"/>
        <w:adjustRightInd w:val="0"/>
        <w:snapToGrid w:val="0"/>
        <w:spacing w:line="500" w:lineRule="exact"/>
        <w:jc w:val="center"/>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表4-3  暴露于潜在危险环境频率 E 的分数值</w:t>
      </w:r>
    </w:p>
    <w:tbl>
      <w:tblPr>
        <w:tblStyle w:val="51"/>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97"/>
        <w:gridCol w:w="4344"/>
      </w:tblGrid>
      <w:tr w14:paraId="6A655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7EBC4C4D">
            <w:pPr>
              <w:autoSpaceDE w:val="0"/>
              <w:autoSpaceDN w:val="0"/>
              <w:adjustRightInd w:val="0"/>
              <w:snapToGrid w:val="0"/>
              <w:spacing w:line="300" w:lineRule="exact"/>
              <w:jc w:val="center"/>
              <w:rPr>
                <w:rFonts w:hint="default" w:ascii="Times New Roman" w:hAnsi="Times New Roman" w:cs="Times New Roman"/>
                <w:b/>
                <w:color w:val="000000" w:themeColor="text1"/>
                <w:kern w:val="0"/>
                <w:szCs w:val="21"/>
                <w:lang w:eastAsia="zh-TW"/>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分数值</w:t>
            </w:r>
          </w:p>
        </w:tc>
        <w:tc>
          <w:tcPr>
            <w:tcW w:w="4344" w:type="dxa"/>
            <w:tcBorders>
              <w:top w:val="single" w:color="auto" w:sz="4" w:space="0"/>
              <w:left w:val="single" w:color="auto" w:sz="4" w:space="0"/>
              <w:bottom w:val="single" w:color="auto" w:sz="4" w:space="0"/>
              <w:right w:val="single" w:color="auto" w:sz="4" w:space="0"/>
            </w:tcBorders>
            <w:vAlign w:val="center"/>
          </w:tcPr>
          <w:p w14:paraId="1A3BBF11">
            <w:pPr>
              <w:autoSpaceDE w:val="0"/>
              <w:autoSpaceDN w:val="0"/>
              <w:adjustRightInd w:val="0"/>
              <w:snapToGrid w:val="0"/>
              <w:spacing w:line="300" w:lineRule="exact"/>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暴露于危险环境的频率</w:t>
            </w:r>
          </w:p>
        </w:tc>
      </w:tr>
      <w:tr w14:paraId="76B65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0DDF79CD">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4344" w:type="dxa"/>
            <w:tcBorders>
              <w:top w:val="single" w:color="auto" w:sz="4" w:space="0"/>
              <w:left w:val="single" w:color="auto" w:sz="4" w:space="0"/>
              <w:bottom w:val="single" w:color="auto" w:sz="4" w:space="0"/>
              <w:right w:val="single" w:color="auto" w:sz="4" w:space="0"/>
            </w:tcBorders>
            <w:vAlign w:val="center"/>
          </w:tcPr>
          <w:p w14:paraId="1DE07537">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连续暴露于潜在危险环境</w:t>
            </w:r>
          </w:p>
        </w:tc>
      </w:tr>
      <w:tr w14:paraId="5A82B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5345659B">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w:t>
            </w:r>
          </w:p>
        </w:tc>
        <w:tc>
          <w:tcPr>
            <w:tcW w:w="4344" w:type="dxa"/>
            <w:tcBorders>
              <w:top w:val="single" w:color="auto" w:sz="4" w:space="0"/>
              <w:left w:val="single" w:color="auto" w:sz="4" w:space="0"/>
              <w:bottom w:val="single" w:color="auto" w:sz="4" w:space="0"/>
              <w:right w:val="single" w:color="auto" w:sz="4" w:space="0"/>
            </w:tcBorders>
            <w:vAlign w:val="center"/>
          </w:tcPr>
          <w:p w14:paraId="2DBB8FD1">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逐日在工作时间内暴露</w:t>
            </w:r>
          </w:p>
        </w:tc>
      </w:tr>
      <w:tr w14:paraId="3027C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7131E2B8">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w:t>
            </w:r>
          </w:p>
        </w:tc>
        <w:tc>
          <w:tcPr>
            <w:tcW w:w="4344" w:type="dxa"/>
            <w:tcBorders>
              <w:top w:val="single" w:color="auto" w:sz="4" w:space="0"/>
              <w:left w:val="single" w:color="auto" w:sz="4" w:space="0"/>
              <w:bottom w:val="single" w:color="auto" w:sz="4" w:space="0"/>
              <w:right w:val="single" w:color="auto" w:sz="4" w:space="0"/>
            </w:tcBorders>
            <w:vAlign w:val="center"/>
          </w:tcPr>
          <w:p w14:paraId="401BA591">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每周一次或偶然暴露</w:t>
            </w:r>
          </w:p>
        </w:tc>
      </w:tr>
      <w:tr w14:paraId="6EE03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 w:hRule="atLeast"/>
        </w:trPr>
        <w:tc>
          <w:tcPr>
            <w:tcW w:w="4397" w:type="dxa"/>
            <w:tcBorders>
              <w:top w:val="single" w:color="auto" w:sz="4" w:space="0"/>
              <w:left w:val="single" w:color="auto" w:sz="4" w:space="0"/>
              <w:bottom w:val="single" w:color="auto" w:sz="4" w:space="0"/>
              <w:right w:val="single" w:color="auto" w:sz="4" w:space="0"/>
            </w:tcBorders>
            <w:vAlign w:val="center"/>
          </w:tcPr>
          <w:p w14:paraId="59098812">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p>
        </w:tc>
        <w:tc>
          <w:tcPr>
            <w:tcW w:w="4344" w:type="dxa"/>
            <w:tcBorders>
              <w:top w:val="single" w:color="auto" w:sz="4" w:space="0"/>
              <w:left w:val="single" w:color="auto" w:sz="4" w:space="0"/>
              <w:bottom w:val="single" w:color="auto" w:sz="4" w:space="0"/>
              <w:right w:val="single" w:color="auto" w:sz="4" w:space="0"/>
            </w:tcBorders>
            <w:vAlign w:val="center"/>
          </w:tcPr>
          <w:p w14:paraId="282D27EB">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每月暴露一次</w:t>
            </w:r>
          </w:p>
        </w:tc>
      </w:tr>
      <w:tr w14:paraId="204D4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56192766">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4344" w:type="dxa"/>
            <w:tcBorders>
              <w:top w:val="single" w:color="auto" w:sz="4" w:space="0"/>
              <w:left w:val="single" w:color="auto" w:sz="4" w:space="0"/>
              <w:bottom w:val="single" w:color="auto" w:sz="4" w:space="0"/>
              <w:right w:val="single" w:color="auto" w:sz="4" w:space="0"/>
            </w:tcBorders>
            <w:vAlign w:val="center"/>
          </w:tcPr>
          <w:p w14:paraId="3932DF6E">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每年几次出现在危险环境</w:t>
            </w:r>
          </w:p>
        </w:tc>
      </w:tr>
      <w:tr w14:paraId="1268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59CE686D">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0.5</w:t>
            </w:r>
          </w:p>
        </w:tc>
        <w:tc>
          <w:tcPr>
            <w:tcW w:w="4344" w:type="dxa"/>
            <w:tcBorders>
              <w:top w:val="single" w:color="auto" w:sz="4" w:space="0"/>
              <w:left w:val="single" w:color="auto" w:sz="4" w:space="0"/>
              <w:bottom w:val="single" w:color="auto" w:sz="4" w:space="0"/>
              <w:right w:val="single" w:color="auto" w:sz="4" w:space="0"/>
            </w:tcBorders>
            <w:vAlign w:val="center"/>
          </w:tcPr>
          <w:p w14:paraId="3ECADDC7">
            <w:pPr>
              <w:autoSpaceDE w:val="0"/>
              <w:autoSpaceDN w:val="0"/>
              <w:adjustRightInd w:val="0"/>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非常罕见地暴露于危险环境</w:t>
            </w:r>
          </w:p>
        </w:tc>
      </w:tr>
    </w:tbl>
    <w:p w14:paraId="62663B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3.事故或危险事件的危险严重度C</w:t>
      </w:r>
    </w:p>
    <w:p w14:paraId="5210FA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事故或危险事件对人身伤害的严重程度变化范围很大，可以从伤害直至死亡事故，规定分数值1～l00。具体分数值见表4-4。</w:t>
      </w:r>
    </w:p>
    <w:p w14:paraId="023AF023">
      <w:pPr>
        <w:tabs>
          <w:tab w:val="left" w:pos="1948"/>
        </w:tabs>
        <w:autoSpaceDE w:val="0"/>
        <w:autoSpaceDN w:val="0"/>
        <w:adjustRightInd w:val="0"/>
        <w:snapToGrid w:val="0"/>
        <w:spacing w:line="500" w:lineRule="exact"/>
        <w:jc w:val="center"/>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表4-4  事故或危险事件的危险严重度C的分数值</w:t>
      </w:r>
    </w:p>
    <w:tbl>
      <w:tblPr>
        <w:tblStyle w:val="51"/>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458"/>
        <w:gridCol w:w="5283"/>
      </w:tblGrid>
      <w:tr w14:paraId="03FD7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3C8298C7">
            <w:pPr>
              <w:autoSpaceDE w:val="0"/>
              <w:autoSpaceDN w:val="0"/>
              <w:adjustRightInd w:val="0"/>
              <w:spacing w:line="300" w:lineRule="exact"/>
              <w:jc w:val="center"/>
              <w:rPr>
                <w:rFonts w:hint="eastAsia" w:ascii="宋体" w:hAnsi="宋体" w:eastAsia="宋体" w:cs="宋体"/>
                <w:b/>
                <w:color w:val="000000" w:themeColor="text1"/>
                <w:kern w:val="0"/>
                <w:sz w:val="21"/>
                <w:szCs w:val="21"/>
                <w:lang w:eastAsia="zh-TW"/>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分数值</w:t>
            </w:r>
          </w:p>
        </w:tc>
        <w:tc>
          <w:tcPr>
            <w:tcW w:w="5283" w:type="dxa"/>
            <w:tcBorders>
              <w:top w:val="single" w:color="auto" w:sz="4" w:space="0"/>
              <w:left w:val="single" w:color="auto" w:sz="4" w:space="0"/>
              <w:bottom w:val="single" w:color="auto" w:sz="4" w:space="0"/>
              <w:right w:val="single" w:color="auto" w:sz="4" w:space="0"/>
            </w:tcBorders>
            <w:vAlign w:val="center"/>
          </w:tcPr>
          <w:p w14:paraId="0BF3E433">
            <w:pPr>
              <w:autoSpaceDE w:val="0"/>
              <w:autoSpaceDN w:val="0"/>
              <w:adjustRightInd w:val="0"/>
              <w:spacing w:line="300" w:lineRule="exact"/>
              <w:jc w:val="center"/>
              <w:rPr>
                <w:rFonts w:hint="eastAsia" w:ascii="宋体" w:hAnsi="宋体" w:eastAsia="宋体" w:cs="宋体"/>
                <w:b/>
                <w:color w:val="000000" w:themeColor="text1"/>
                <w:kern w:val="0"/>
                <w:sz w:val="21"/>
                <w:szCs w:val="21"/>
                <w:lang w:eastAsia="zh-TW"/>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可能结果</w:t>
            </w:r>
          </w:p>
        </w:tc>
      </w:tr>
      <w:tr w14:paraId="79ABC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465F243B">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100</w:t>
            </w:r>
          </w:p>
        </w:tc>
        <w:tc>
          <w:tcPr>
            <w:tcW w:w="5283" w:type="dxa"/>
            <w:tcBorders>
              <w:top w:val="single" w:color="auto" w:sz="4" w:space="0"/>
              <w:left w:val="single" w:color="auto" w:sz="4" w:space="0"/>
              <w:bottom w:val="single" w:color="auto" w:sz="4" w:space="0"/>
              <w:right w:val="single" w:color="auto" w:sz="4" w:space="0"/>
            </w:tcBorders>
            <w:vAlign w:val="center"/>
          </w:tcPr>
          <w:p w14:paraId="2EE4D840">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10人死亡</w:t>
            </w:r>
          </w:p>
        </w:tc>
      </w:tr>
      <w:tr w14:paraId="24084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3567B4E2">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40</w:t>
            </w:r>
          </w:p>
        </w:tc>
        <w:tc>
          <w:tcPr>
            <w:tcW w:w="5283" w:type="dxa"/>
            <w:tcBorders>
              <w:top w:val="single" w:color="auto" w:sz="4" w:space="0"/>
              <w:left w:val="single" w:color="auto" w:sz="4" w:space="0"/>
              <w:bottom w:val="single" w:color="auto" w:sz="4" w:space="0"/>
              <w:right w:val="single" w:color="auto" w:sz="4" w:space="0"/>
            </w:tcBorders>
            <w:vAlign w:val="center"/>
          </w:tcPr>
          <w:p w14:paraId="17D64095">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数人死亡</w:t>
            </w:r>
          </w:p>
        </w:tc>
      </w:tr>
      <w:tr w14:paraId="03EB1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03A990A7">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15</w:t>
            </w:r>
          </w:p>
        </w:tc>
        <w:tc>
          <w:tcPr>
            <w:tcW w:w="5283" w:type="dxa"/>
            <w:tcBorders>
              <w:top w:val="single" w:color="auto" w:sz="4" w:space="0"/>
              <w:left w:val="single" w:color="auto" w:sz="4" w:space="0"/>
              <w:bottom w:val="single" w:color="auto" w:sz="4" w:space="0"/>
              <w:right w:val="single" w:color="auto" w:sz="4" w:space="0"/>
            </w:tcBorders>
            <w:vAlign w:val="center"/>
          </w:tcPr>
          <w:p w14:paraId="0A3C02B3">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1人死亡</w:t>
            </w:r>
          </w:p>
        </w:tc>
      </w:tr>
      <w:tr w14:paraId="31F53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5F2412C1">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7</w:t>
            </w:r>
          </w:p>
        </w:tc>
        <w:tc>
          <w:tcPr>
            <w:tcW w:w="5283" w:type="dxa"/>
            <w:tcBorders>
              <w:top w:val="single" w:color="auto" w:sz="4" w:space="0"/>
              <w:left w:val="single" w:color="auto" w:sz="4" w:space="0"/>
              <w:bottom w:val="single" w:color="auto" w:sz="4" w:space="0"/>
              <w:right w:val="single" w:color="auto" w:sz="4" w:space="0"/>
            </w:tcBorders>
            <w:vAlign w:val="center"/>
          </w:tcPr>
          <w:p w14:paraId="0E527F05">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严重伤害</w:t>
            </w:r>
          </w:p>
        </w:tc>
      </w:tr>
      <w:tr w14:paraId="6F202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2B49EE3D">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w:t>
            </w:r>
          </w:p>
        </w:tc>
        <w:tc>
          <w:tcPr>
            <w:tcW w:w="5283" w:type="dxa"/>
            <w:tcBorders>
              <w:top w:val="single" w:color="auto" w:sz="4" w:space="0"/>
              <w:left w:val="single" w:color="auto" w:sz="4" w:space="0"/>
              <w:bottom w:val="single" w:color="auto" w:sz="4" w:space="0"/>
              <w:right w:val="single" w:color="auto" w:sz="4" w:space="0"/>
            </w:tcBorders>
            <w:vAlign w:val="center"/>
          </w:tcPr>
          <w:p w14:paraId="5EB4B6C0">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有致残</w:t>
            </w:r>
          </w:p>
        </w:tc>
      </w:tr>
      <w:tr w14:paraId="7C797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5876CFF5">
            <w:pPr>
              <w:autoSpaceDE w:val="0"/>
              <w:autoSpaceDN w:val="0"/>
              <w:adjustRightIn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5283" w:type="dxa"/>
            <w:tcBorders>
              <w:top w:val="single" w:color="auto" w:sz="4" w:space="0"/>
              <w:left w:val="single" w:color="auto" w:sz="4" w:space="0"/>
              <w:bottom w:val="single" w:color="auto" w:sz="4" w:space="0"/>
              <w:right w:val="single" w:color="auto" w:sz="4" w:space="0"/>
            </w:tcBorders>
            <w:vAlign w:val="center"/>
          </w:tcPr>
          <w:p w14:paraId="106784BD">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有轻伤，需要救护</w:t>
            </w:r>
          </w:p>
        </w:tc>
      </w:tr>
    </w:tbl>
    <w:p w14:paraId="1378BF2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4.危险性程度分级D</w:t>
      </w:r>
    </w:p>
    <w:p w14:paraId="2981CA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000000" w:themeColor="text1"/>
          <w:kern w:val="0"/>
          <w:sz w:val="24"/>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在确定了上述三个因素的分数值后，其三者的乘积即为总的危险性分数值 D。根据相关资料，将危险性程度分级的相应分数值列入表4-5。</w:t>
      </w:r>
    </w:p>
    <w:p w14:paraId="68376B62">
      <w:pPr>
        <w:tabs>
          <w:tab w:val="left" w:pos="1948"/>
        </w:tabs>
        <w:autoSpaceDE w:val="0"/>
        <w:autoSpaceDN w:val="0"/>
        <w:adjustRightInd w:val="0"/>
        <w:snapToGrid w:val="0"/>
        <w:spacing w:line="500" w:lineRule="exact"/>
        <w:ind w:right="28"/>
        <w:jc w:val="center"/>
        <w:rPr>
          <w:rFonts w:hint="eastAsia" w:ascii="宋体" w:hAnsi="宋体" w:eastAsia="宋体" w:cs="宋体"/>
          <w:b/>
          <w:bCs/>
          <w:color w:val="000000" w:themeColor="text1"/>
          <w:kern w:val="0"/>
          <w:sz w:val="24"/>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表4-5  危险性程度分级的分数值</w:t>
      </w:r>
    </w:p>
    <w:tbl>
      <w:tblPr>
        <w:tblStyle w:val="51"/>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39"/>
        <w:gridCol w:w="4402"/>
      </w:tblGrid>
      <w:tr w14:paraId="7F5A8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Header/>
        </w:trPr>
        <w:tc>
          <w:tcPr>
            <w:tcW w:w="4339" w:type="dxa"/>
            <w:tcBorders>
              <w:top w:val="single" w:color="auto" w:sz="4" w:space="0"/>
              <w:left w:val="single" w:color="auto" w:sz="4" w:space="0"/>
              <w:bottom w:val="single" w:color="auto" w:sz="4" w:space="0"/>
              <w:right w:val="single" w:color="auto" w:sz="4" w:space="0"/>
            </w:tcBorders>
            <w:vAlign w:val="center"/>
          </w:tcPr>
          <w:p w14:paraId="0841EE87">
            <w:pPr>
              <w:autoSpaceDE w:val="0"/>
              <w:autoSpaceDN w:val="0"/>
              <w:adjustRightInd w:val="0"/>
              <w:spacing w:line="300" w:lineRule="exact"/>
              <w:jc w:val="center"/>
              <w:rPr>
                <w:rFonts w:hint="default" w:ascii="Times New Roman" w:hAnsi="Times New Roman" w:cs="Times New Roman"/>
                <w:b/>
                <w:bCs/>
                <w:color w:val="000000" w:themeColor="text1"/>
                <w:kern w:val="0"/>
                <w:szCs w:val="21"/>
                <w:lang w:eastAsia="zh-TW"/>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分数值</w:t>
            </w:r>
          </w:p>
        </w:tc>
        <w:tc>
          <w:tcPr>
            <w:tcW w:w="4402" w:type="dxa"/>
            <w:tcBorders>
              <w:top w:val="single" w:color="auto" w:sz="4" w:space="0"/>
              <w:left w:val="single" w:color="auto" w:sz="4" w:space="0"/>
              <w:bottom w:val="single" w:color="auto" w:sz="4" w:space="0"/>
              <w:right w:val="single" w:color="auto" w:sz="4" w:space="0"/>
            </w:tcBorders>
            <w:vAlign w:val="center"/>
          </w:tcPr>
          <w:p w14:paraId="5CEAD9C0">
            <w:pPr>
              <w:autoSpaceDE w:val="0"/>
              <w:autoSpaceDN w:val="0"/>
              <w:adjustRightInd w:val="0"/>
              <w:spacing w:line="300" w:lineRule="exact"/>
              <w:jc w:val="center"/>
              <w:rPr>
                <w:rFonts w:hint="default" w:ascii="Times New Roman" w:hAnsi="Times New Roman" w:cs="Times New Roman"/>
                <w:b/>
                <w:bCs/>
                <w:color w:val="000000" w:themeColor="text1"/>
                <w:kern w:val="0"/>
                <w:szCs w:val="21"/>
                <w:lang w:eastAsia="zh-TW"/>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危险性程度</w:t>
            </w:r>
          </w:p>
        </w:tc>
      </w:tr>
      <w:tr w14:paraId="34F38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1EE96BB6">
            <w:pPr>
              <w:autoSpaceDE w:val="0"/>
              <w:autoSpaceDN w:val="0"/>
              <w:adjustRightIn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&gt;320</w:t>
            </w:r>
          </w:p>
        </w:tc>
        <w:tc>
          <w:tcPr>
            <w:tcW w:w="4402" w:type="dxa"/>
            <w:tcBorders>
              <w:top w:val="single" w:color="auto" w:sz="4" w:space="0"/>
              <w:left w:val="single" w:color="auto" w:sz="4" w:space="0"/>
              <w:bottom w:val="single" w:color="auto" w:sz="4" w:space="0"/>
              <w:right w:val="single" w:color="auto" w:sz="4" w:space="0"/>
            </w:tcBorders>
            <w:vAlign w:val="center"/>
          </w:tcPr>
          <w:p w14:paraId="23D08D90">
            <w:pPr>
              <w:autoSpaceDE w:val="0"/>
              <w:autoSpaceDN w:val="0"/>
              <w:adjustRightIn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极其危险</w:t>
            </w:r>
          </w:p>
        </w:tc>
      </w:tr>
      <w:tr w14:paraId="5D8C9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4B94B255">
            <w:pPr>
              <w:autoSpaceDE w:val="0"/>
              <w:autoSpaceDN w:val="0"/>
              <w:adjustRightIn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160～320</w:t>
            </w:r>
          </w:p>
        </w:tc>
        <w:tc>
          <w:tcPr>
            <w:tcW w:w="4402" w:type="dxa"/>
            <w:tcBorders>
              <w:top w:val="single" w:color="auto" w:sz="4" w:space="0"/>
              <w:left w:val="single" w:color="auto" w:sz="4" w:space="0"/>
              <w:bottom w:val="single" w:color="auto" w:sz="4" w:space="0"/>
              <w:right w:val="single" w:color="auto" w:sz="4" w:space="0"/>
            </w:tcBorders>
            <w:vAlign w:val="center"/>
          </w:tcPr>
          <w:p w14:paraId="4E5C33D5">
            <w:pPr>
              <w:autoSpaceDE w:val="0"/>
              <w:autoSpaceDN w:val="0"/>
              <w:adjustRightIn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高度危险</w:t>
            </w:r>
          </w:p>
        </w:tc>
      </w:tr>
      <w:tr w14:paraId="24E0F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33330C18">
            <w:pPr>
              <w:autoSpaceDE w:val="0"/>
              <w:autoSpaceDN w:val="0"/>
              <w:adjustRightIn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70～160</w:t>
            </w:r>
          </w:p>
        </w:tc>
        <w:tc>
          <w:tcPr>
            <w:tcW w:w="4402" w:type="dxa"/>
            <w:tcBorders>
              <w:top w:val="single" w:color="auto" w:sz="4" w:space="0"/>
              <w:left w:val="single" w:color="auto" w:sz="4" w:space="0"/>
              <w:bottom w:val="single" w:color="auto" w:sz="4" w:space="0"/>
              <w:right w:val="single" w:color="auto" w:sz="4" w:space="0"/>
            </w:tcBorders>
            <w:vAlign w:val="center"/>
          </w:tcPr>
          <w:p w14:paraId="35E6B42D">
            <w:pPr>
              <w:autoSpaceDE w:val="0"/>
              <w:autoSpaceDN w:val="0"/>
              <w:adjustRightIn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显著危险</w:t>
            </w:r>
          </w:p>
        </w:tc>
      </w:tr>
      <w:tr w14:paraId="7B0F6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 w:hRule="atLeast"/>
        </w:trPr>
        <w:tc>
          <w:tcPr>
            <w:tcW w:w="4339" w:type="dxa"/>
            <w:tcBorders>
              <w:top w:val="single" w:color="auto" w:sz="4" w:space="0"/>
              <w:left w:val="single" w:color="auto" w:sz="4" w:space="0"/>
              <w:bottom w:val="single" w:color="auto" w:sz="4" w:space="0"/>
              <w:right w:val="single" w:color="auto" w:sz="4" w:space="0"/>
            </w:tcBorders>
            <w:vAlign w:val="center"/>
          </w:tcPr>
          <w:p w14:paraId="019A5D41">
            <w:pPr>
              <w:autoSpaceDE w:val="0"/>
              <w:autoSpaceDN w:val="0"/>
              <w:adjustRightInd w:val="0"/>
              <w:spacing w:line="300" w:lineRule="exact"/>
              <w:jc w:val="center"/>
              <w:rPr>
                <w:rFonts w:hint="default" w:ascii="Times New Roman" w:hAnsi="Times New Roman" w:cs="Times New Roman"/>
                <w:color w:val="000000" w:themeColor="text1"/>
                <w:kern w:val="0"/>
                <w:szCs w:val="21"/>
                <w:lang w:eastAsia="zh-TW"/>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20～70</w:t>
            </w:r>
          </w:p>
        </w:tc>
        <w:tc>
          <w:tcPr>
            <w:tcW w:w="4402" w:type="dxa"/>
            <w:tcBorders>
              <w:top w:val="single" w:color="auto" w:sz="4" w:space="0"/>
              <w:left w:val="single" w:color="auto" w:sz="4" w:space="0"/>
              <w:bottom w:val="single" w:color="auto" w:sz="4" w:space="0"/>
              <w:right w:val="single" w:color="auto" w:sz="4" w:space="0"/>
            </w:tcBorders>
            <w:vAlign w:val="center"/>
          </w:tcPr>
          <w:p w14:paraId="345AF917">
            <w:pPr>
              <w:autoSpaceDE w:val="0"/>
              <w:autoSpaceDN w:val="0"/>
              <w:adjustRightInd w:val="0"/>
              <w:spacing w:line="300" w:lineRule="exact"/>
              <w:jc w:val="center"/>
              <w:outlineLvl w:val="0"/>
              <w:rPr>
                <w:rFonts w:hint="default" w:ascii="Times New Roman" w:hAnsi="Times New Roman" w:cs="Times New Roman"/>
                <w:color w:val="000000" w:themeColor="text1"/>
                <w:kern w:val="0"/>
                <w:szCs w:val="21"/>
                <w:lang w:eastAsia="zh-TW"/>
                <w14:textFill>
                  <w14:solidFill>
                    <w14:schemeClr w14:val="tx1"/>
                  </w14:solidFill>
                </w14:textFill>
              </w:rPr>
            </w:pPr>
            <w:bookmarkStart w:id="607" w:name="_Toc8751"/>
            <w:bookmarkStart w:id="608" w:name="_Toc25681"/>
            <w:bookmarkStart w:id="609" w:name="_Toc8861"/>
            <w:bookmarkStart w:id="610" w:name="_Toc30727"/>
            <w:bookmarkStart w:id="611" w:name="_Toc30495"/>
            <w:bookmarkStart w:id="612" w:name="_Toc12678"/>
            <w:bookmarkStart w:id="613" w:name="_Toc28887"/>
            <w:bookmarkStart w:id="614" w:name="_Toc1874"/>
            <w:bookmarkStart w:id="615" w:name="_Toc6519"/>
            <w:bookmarkStart w:id="616" w:name="_Toc32009"/>
            <w:bookmarkStart w:id="617" w:name="_Toc12927"/>
            <w:bookmarkStart w:id="618" w:name="_Toc23598"/>
            <w:bookmarkStart w:id="619" w:name="_Toc1069"/>
            <w:bookmarkStart w:id="620" w:name="_Toc10985"/>
            <w:bookmarkStart w:id="621" w:name="_Toc14915"/>
            <w:r>
              <w:rPr>
                <w:rFonts w:hint="default" w:ascii="Times New Roman" w:hAnsi="Times New Roman" w:cs="Times New Roman"/>
                <w:color w:val="000000" w:themeColor="text1"/>
                <w:kern w:val="0"/>
                <w:szCs w:val="21"/>
                <w14:textFill>
                  <w14:solidFill>
                    <w14:schemeClr w14:val="tx1"/>
                  </w14:solidFill>
                </w14:textFill>
              </w:rPr>
              <w:t>可能危险</w:t>
            </w:r>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p>
        </w:tc>
      </w:tr>
      <w:tr w14:paraId="1B0BB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1DB81216">
            <w:pPr>
              <w:autoSpaceDE w:val="0"/>
              <w:autoSpaceDN w:val="0"/>
              <w:adjustRightInd w:val="0"/>
              <w:spacing w:line="300" w:lineRule="exact"/>
              <w:jc w:val="center"/>
              <w:outlineLvl w:val="0"/>
              <w:rPr>
                <w:rFonts w:hint="default" w:ascii="Times New Roman" w:hAnsi="Times New Roman" w:cs="Times New Roman"/>
                <w:color w:val="000000" w:themeColor="text1"/>
                <w:kern w:val="0"/>
                <w:szCs w:val="21"/>
                <w:lang w:eastAsia="zh-TW"/>
                <w14:textFill>
                  <w14:solidFill>
                    <w14:schemeClr w14:val="tx1"/>
                  </w14:solidFill>
                </w14:textFill>
              </w:rPr>
            </w:pPr>
            <w:bookmarkStart w:id="622" w:name="_Toc1905"/>
            <w:bookmarkStart w:id="623" w:name="_Toc27421"/>
            <w:bookmarkStart w:id="624" w:name="_Toc7939"/>
            <w:bookmarkStart w:id="625" w:name="_Toc5515"/>
            <w:bookmarkStart w:id="626" w:name="_Toc8676"/>
            <w:bookmarkStart w:id="627" w:name="_Toc1127"/>
            <w:bookmarkStart w:id="628" w:name="_Toc5139"/>
            <w:bookmarkStart w:id="629" w:name="_Toc11207"/>
            <w:bookmarkStart w:id="630" w:name="_Toc5807"/>
            <w:bookmarkStart w:id="631" w:name="_Toc4276"/>
            <w:bookmarkStart w:id="632" w:name="_Toc12387"/>
            <w:bookmarkStart w:id="633" w:name="_Toc10792"/>
            <w:bookmarkStart w:id="634" w:name="_Toc3087"/>
            <w:bookmarkStart w:id="635" w:name="_Toc31920"/>
            <w:bookmarkStart w:id="636" w:name="_Toc5289"/>
            <w:r>
              <w:rPr>
                <w:rFonts w:hint="default" w:ascii="Times New Roman" w:hAnsi="Times New Roman" w:cs="Times New Roman"/>
                <w:color w:val="000000" w:themeColor="text1"/>
                <w:kern w:val="0"/>
                <w:szCs w:val="21"/>
                <w14:textFill>
                  <w14:solidFill>
                    <w14:schemeClr w14:val="tx1"/>
                  </w14:solidFill>
                </w14:textFill>
              </w:rPr>
              <w:t>&lt;20</w:t>
            </w:r>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tc>
        <w:tc>
          <w:tcPr>
            <w:tcW w:w="4402" w:type="dxa"/>
            <w:tcBorders>
              <w:top w:val="single" w:color="auto" w:sz="4" w:space="0"/>
              <w:left w:val="single" w:color="auto" w:sz="4" w:space="0"/>
              <w:bottom w:val="single" w:color="auto" w:sz="4" w:space="0"/>
              <w:right w:val="single" w:color="auto" w:sz="4" w:space="0"/>
            </w:tcBorders>
            <w:vAlign w:val="center"/>
          </w:tcPr>
          <w:p w14:paraId="118B0CBE">
            <w:pPr>
              <w:autoSpaceDE w:val="0"/>
              <w:autoSpaceDN w:val="0"/>
              <w:adjustRightInd w:val="0"/>
              <w:spacing w:line="300" w:lineRule="exact"/>
              <w:jc w:val="center"/>
              <w:outlineLvl w:val="0"/>
              <w:rPr>
                <w:rFonts w:hint="default" w:ascii="Times New Roman" w:hAnsi="Times New Roman" w:cs="Times New Roman"/>
                <w:color w:val="000000" w:themeColor="text1"/>
                <w:kern w:val="0"/>
                <w:szCs w:val="21"/>
                <w:lang w:eastAsia="zh-TW"/>
                <w14:textFill>
                  <w14:solidFill>
                    <w14:schemeClr w14:val="tx1"/>
                  </w14:solidFill>
                </w14:textFill>
              </w:rPr>
            </w:pPr>
            <w:bookmarkStart w:id="637" w:name="_Toc31399"/>
            <w:bookmarkStart w:id="638" w:name="_Toc26155"/>
            <w:bookmarkStart w:id="639" w:name="_Toc27865"/>
            <w:bookmarkStart w:id="640" w:name="_Toc20038"/>
            <w:bookmarkStart w:id="641" w:name="_Toc11913"/>
            <w:bookmarkStart w:id="642" w:name="_Toc11775"/>
            <w:bookmarkStart w:id="643" w:name="_Toc10232"/>
            <w:bookmarkStart w:id="644" w:name="_Toc24128"/>
            <w:bookmarkStart w:id="645" w:name="_Toc16735"/>
            <w:bookmarkStart w:id="646" w:name="_Toc6824"/>
            <w:bookmarkStart w:id="647" w:name="_Toc22270"/>
            <w:bookmarkStart w:id="648" w:name="_Toc30792"/>
            <w:bookmarkStart w:id="649" w:name="_Toc4104"/>
            <w:bookmarkStart w:id="650" w:name="_Toc21170"/>
            <w:bookmarkStart w:id="651" w:name="_Toc31811"/>
            <w:r>
              <w:rPr>
                <w:rFonts w:hint="default" w:ascii="Times New Roman" w:hAnsi="Times New Roman" w:cs="Times New Roman"/>
                <w:color w:val="000000" w:themeColor="text1"/>
                <w:kern w:val="0"/>
                <w:szCs w:val="21"/>
                <w14:textFill>
                  <w14:solidFill>
                    <w14:schemeClr w14:val="tx1"/>
                  </w14:solidFill>
                </w14:textFill>
              </w:rPr>
              <w:t>稍有危险</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p>
        </w:tc>
      </w:tr>
      <w:bookmarkEnd w:id="605"/>
      <w:bookmarkEnd w:id="606"/>
    </w:tbl>
    <w:p w14:paraId="7ED4D4D4">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default" w:ascii="宋体" w:hAnsi="宋体" w:eastAsia="宋体" w:cs="宋体"/>
          <w:color w:val="000000" w:themeColor="text1"/>
          <w:sz w:val="28"/>
          <w:szCs w:val="28"/>
          <w14:textFill>
            <w14:solidFill>
              <w14:schemeClr w14:val="tx1"/>
            </w14:solidFill>
          </w14:textFill>
        </w:rPr>
      </w:pPr>
    </w:p>
    <w:p w14:paraId="6602870D">
      <w:pPr>
        <w:pStyle w:val="3"/>
        <w:keepNext/>
        <w:keepLines/>
        <w:pageBreakBefore w:val="0"/>
        <w:widowControl w:val="0"/>
        <w:kinsoku/>
        <w:wordWrap/>
        <w:overflowPunct/>
        <w:topLinePunct w:val="0"/>
        <w:autoSpaceDE/>
        <w:autoSpaceDN/>
        <w:bidi w:val="0"/>
        <w:adjustRightInd/>
        <w:snapToGrid w:val="0"/>
        <w:spacing w:before="120" w:after="120"/>
        <w:textAlignment w:val="auto"/>
        <w:rPr>
          <w:rFonts w:hint="default" w:ascii="Times New Roman" w:hAnsi="Times New Roman" w:eastAsia="黑体" w:cs="Times New Roman"/>
          <w:color w:val="000000" w:themeColor="text1"/>
          <w14:textFill>
            <w14:solidFill>
              <w14:schemeClr w14:val="tx1"/>
            </w14:solidFill>
          </w14:textFill>
        </w:rPr>
      </w:pPr>
      <w:bookmarkStart w:id="652" w:name="_Toc8149"/>
      <w:bookmarkStart w:id="653" w:name="_Toc4473"/>
      <w:bookmarkStart w:id="654" w:name="_Toc27488"/>
      <w:bookmarkStart w:id="655" w:name="_Toc208675035"/>
      <w:bookmarkStart w:id="656" w:name="_Toc208674447"/>
      <w:bookmarkStart w:id="657" w:name="_Toc313453627"/>
      <w:bookmarkStart w:id="658" w:name="_Toc335926316"/>
      <w:bookmarkStart w:id="659" w:name="_Toc13746"/>
      <w:bookmarkStart w:id="660" w:name="_Toc9727"/>
      <w:bookmarkStart w:id="661" w:name="_Toc14419"/>
      <w:r>
        <w:rPr>
          <w:rFonts w:ascii="Times New Roman" w:hAnsi="Times New Roman"/>
          <w:color w:val="000000" w:themeColor="text1"/>
          <w14:textFill>
            <w14:solidFill>
              <w14:schemeClr w14:val="tx1"/>
            </w14:solidFill>
          </w14:textFill>
        </w:rPr>
        <w:br w:type="page"/>
      </w:r>
      <w:bookmarkStart w:id="662" w:name="_Toc763"/>
      <w:bookmarkStart w:id="663" w:name="_Toc23168"/>
      <w:r>
        <w:rPr>
          <w:rFonts w:hint="default" w:ascii="Times New Roman" w:hAnsi="Times New Roman" w:eastAsia="黑体" w:cs="Times New Roman"/>
          <w:color w:val="000000" w:themeColor="text1"/>
          <w14:textFill>
            <w14:solidFill>
              <w14:schemeClr w14:val="tx1"/>
            </w14:solidFill>
          </w14:textFill>
        </w:rPr>
        <w:t xml:space="preserve">第5章 </w:t>
      </w:r>
      <w:bookmarkEnd w:id="652"/>
      <w:r>
        <w:rPr>
          <w:rFonts w:hint="default" w:ascii="Times New Roman" w:hAnsi="Times New Roman" w:eastAsia="黑体" w:cs="Times New Roman"/>
          <w:color w:val="000000" w:themeColor="text1"/>
          <w14:textFill>
            <w14:solidFill>
              <w14:schemeClr w14:val="tx1"/>
            </w14:solidFill>
          </w14:textFill>
        </w:rPr>
        <w:t xml:space="preserve"> 定性、定量评价</w:t>
      </w:r>
      <w:bookmarkEnd w:id="653"/>
      <w:bookmarkEnd w:id="654"/>
      <w:bookmarkEnd w:id="662"/>
      <w:bookmarkEnd w:id="663"/>
    </w:p>
    <w:p w14:paraId="375A95F8">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664" w:name="_Toc29878"/>
      <w:bookmarkStart w:id="665" w:name="_Toc25341"/>
      <w:bookmarkStart w:id="666" w:name="_Toc937"/>
      <w:bookmarkStart w:id="667" w:name="_Toc880"/>
      <w:bookmarkStart w:id="668" w:name="_Toc335926267"/>
      <w:bookmarkStart w:id="669" w:name="_Toc278151421"/>
      <w:bookmarkStart w:id="670" w:name="_Toc309682497"/>
      <w:bookmarkStart w:id="671" w:name="_Toc201767299"/>
      <w:bookmarkStart w:id="672" w:name="_Toc327017834"/>
      <w:bookmarkStart w:id="673" w:name="_Toc202575709"/>
      <w:bookmarkStart w:id="674" w:name="_Toc8228"/>
      <w:r>
        <w:rPr>
          <w:rFonts w:hint="default" w:ascii="Times New Roman" w:hAnsi="Times New Roman" w:eastAsia="楷体" w:cs="Times New Roman"/>
          <w:color w:val="000000" w:themeColor="text1"/>
          <w14:textFill>
            <w14:solidFill>
              <w14:schemeClr w14:val="tx1"/>
            </w14:solidFill>
          </w14:textFill>
        </w:rPr>
        <w:t>5.1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厂址及总平面布置评价单元</w:t>
      </w:r>
      <w:bookmarkEnd w:id="664"/>
      <w:bookmarkEnd w:id="665"/>
      <w:bookmarkEnd w:id="666"/>
      <w:bookmarkEnd w:id="667"/>
    </w:p>
    <w:p w14:paraId="7BE66B7C">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675" w:name="_Toc25082"/>
      <w:bookmarkStart w:id="676" w:name="_Toc2499"/>
      <w:bookmarkStart w:id="677" w:name="_Toc15050"/>
      <w:r>
        <w:rPr>
          <w:rFonts w:hint="default" w:ascii="Times New Roman" w:hAnsi="Times New Roman" w:eastAsia="黑体" w:cs="Times New Roman"/>
          <w:color w:val="000000" w:themeColor="text1"/>
          <w:lang w:val="en-US" w:eastAsia="zh-CN"/>
          <w14:textFill>
            <w14:solidFill>
              <w14:schemeClr w14:val="tx1"/>
            </w14:solidFill>
          </w14:textFill>
        </w:rPr>
        <w:t>5.1.1厂址及总平面布置安全检查表</w:t>
      </w:r>
      <w:bookmarkEnd w:id="668"/>
      <w:bookmarkEnd w:id="669"/>
      <w:bookmarkEnd w:id="670"/>
      <w:bookmarkEnd w:id="671"/>
      <w:bookmarkEnd w:id="672"/>
      <w:bookmarkEnd w:id="673"/>
      <w:bookmarkEnd w:id="674"/>
      <w:bookmarkEnd w:id="675"/>
      <w:bookmarkEnd w:id="676"/>
      <w:bookmarkEnd w:id="677"/>
    </w:p>
    <w:p w14:paraId="2480E8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本评价单元依据《工业企业总平面设计规范》（GB50187-2012）、《工业企业厂内铁路、道路运输安全规程》（GB4387-2008）</w:t>
      </w:r>
      <w:r>
        <w:rPr>
          <w:rFonts w:hint="eastAsia" w:ascii="宋体" w:hAnsi="宋体" w:eastAsia="宋体" w:cs="宋体"/>
          <w:color w:val="000000" w:themeColor="text1"/>
          <w:sz w:val="28"/>
          <w:szCs w:val="28"/>
          <w:lang w:eastAsia="zh-CN"/>
          <w14:textFill>
            <w14:solidFill>
              <w14:schemeClr w14:val="tx1"/>
            </w14:solidFill>
          </w14:textFill>
        </w:rPr>
        <w:t>和</w:t>
      </w:r>
      <w:r>
        <w:rPr>
          <w:rFonts w:hint="eastAsia" w:ascii="宋体" w:hAnsi="宋体" w:eastAsia="宋体" w:cs="宋体"/>
          <w:color w:val="000000" w:themeColor="text1"/>
          <w:sz w:val="28"/>
          <w:szCs w:val="28"/>
          <w14:textFill>
            <w14:solidFill>
              <w14:schemeClr w14:val="tx1"/>
            </w14:solidFill>
          </w14:textFill>
        </w:rPr>
        <w:t>《建筑设计防火规范〔</w:t>
      </w:r>
      <w:r>
        <w:rPr>
          <w:rFonts w:hint="eastAsia" w:ascii="宋体" w:hAnsi="宋体" w:eastAsia="宋体" w:cs="宋体"/>
          <w:color w:val="0000FF"/>
          <w:sz w:val="28"/>
          <w:szCs w:val="28"/>
        </w:rPr>
        <w:t>2018</w:t>
      </w:r>
      <w:r>
        <w:rPr>
          <w:rFonts w:hint="eastAsia" w:hAnsi="宋体" w:cs="宋体"/>
          <w:color w:val="0000FF"/>
          <w:sz w:val="28"/>
          <w:szCs w:val="28"/>
          <w:lang w:val="en-US" w:eastAsia="zh-CN"/>
        </w:rPr>
        <w:t>年</w:t>
      </w:r>
      <w:r>
        <w:rPr>
          <w:rFonts w:hint="eastAsia" w:ascii="宋体" w:hAnsi="宋体" w:eastAsia="宋体" w:cs="宋体"/>
          <w:color w:val="0000FF"/>
          <w:sz w:val="28"/>
          <w:szCs w:val="28"/>
        </w:rPr>
        <w:t>版</w:t>
      </w:r>
      <w:r>
        <w:rPr>
          <w:rFonts w:hint="eastAsia" w:ascii="宋体" w:hAnsi="宋体" w:eastAsia="宋体" w:cs="宋体"/>
          <w:color w:val="000000" w:themeColor="text1"/>
          <w:sz w:val="28"/>
          <w:szCs w:val="28"/>
          <w14:textFill>
            <w14:solidFill>
              <w14:schemeClr w14:val="tx1"/>
            </w14:solidFill>
          </w14:textFill>
        </w:rPr>
        <w:t>〕》（GB 50016-2014）等相关标准和规范中的相关内容对该项目的厂址和总平面布置采用安全检查表进行分析评价，检查其是否符合有关标准、规范的要求。</w:t>
      </w:r>
    </w:p>
    <w:p w14:paraId="12D130CF">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default" w:ascii="Times New Roman" w:hAnsi="Times New Roman" w:cs="Times New Roman" w:eastAsiaTheme="minorEastAsia"/>
          <w:b/>
          <w:bCs/>
          <w:color w:val="000000" w:themeColor="text1"/>
          <w14:textFill>
            <w14:solidFill>
              <w14:schemeClr w14:val="tx1"/>
            </w14:solidFill>
          </w14:textFill>
        </w:rPr>
      </w:pPr>
      <w:r>
        <w:rPr>
          <w:rFonts w:hint="default" w:ascii="Times New Roman" w:hAnsi="Times New Roman" w:cs="Times New Roman" w:eastAsiaTheme="minorEastAsia"/>
          <w:b/>
          <w:bCs/>
          <w:color w:val="000000" w:themeColor="text1"/>
          <w14:textFill>
            <w14:solidFill>
              <w14:schemeClr w14:val="tx1"/>
            </w14:solidFill>
          </w14:textFill>
        </w:rPr>
        <w:t>表5-1  厂址及总平面布置安全检查表</w:t>
      </w:r>
    </w:p>
    <w:tbl>
      <w:tblPr>
        <w:tblStyle w:val="51"/>
        <w:tblW w:w="84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2520"/>
        <w:gridCol w:w="2400"/>
        <w:gridCol w:w="2145"/>
        <w:gridCol w:w="720"/>
      </w:tblGrid>
      <w:tr w14:paraId="6FFA4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637" w:type="dxa"/>
            <w:vAlign w:val="center"/>
          </w:tcPr>
          <w:p w14:paraId="7D6080E2">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2520" w:type="dxa"/>
            <w:vAlign w:val="center"/>
          </w:tcPr>
          <w:p w14:paraId="0766C011">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检查内容</w:t>
            </w:r>
          </w:p>
        </w:tc>
        <w:tc>
          <w:tcPr>
            <w:tcW w:w="2400" w:type="dxa"/>
            <w:vAlign w:val="center"/>
          </w:tcPr>
          <w:p w14:paraId="432A50CA">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依据标准</w:t>
            </w:r>
          </w:p>
        </w:tc>
        <w:tc>
          <w:tcPr>
            <w:tcW w:w="2145" w:type="dxa"/>
            <w:vAlign w:val="center"/>
          </w:tcPr>
          <w:p w14:paraId="61BA3306">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检查情况</w:t>
            </w:r>
          </w:p>
        </w:tc>
        <w:tc>
          <w:tcPr>
            <w:tcW w:w="720" w:type="dxa"/>
            <w:vAlign w:val="center"/>
          </w:tcPr>
          <w:p w14:paraId="722D60C6">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结论</w:t>
            </w:r>
          </w:p>
        </w:tc>
      </w:tr>
      <w:tr w14:paraId="183EE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422" w:type="dxa"/>
            <w:gridSpan w:val="5"/>
            <w:vAlign w:val="center"/>
          </w:tcPr>
          <w:p w14:paraId="5150C9E3">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厂址检查</w:t>
            </w:r>
          </w:p>
        </w:tc>
      </w:tr>
      <w:tr w14:paraId="543A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9F0D804">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1</w:t>
            </w:r>
          </w:p>
        </w:tc>
        <w:tc>
          <w:tcPr>
            <w:tcW w:w="2520" w:type="dxa"/>
            <w:vAlign w:val="center"/>
          </w:tcPr>
          <w:p w14:paraId="1D2C05C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厂址选择应符合国家的工业布局、城镇（乡）总体规划及土地利用总体规划的要求。  </w:t>
            </w:r>
          </w:p>
        </w:tc>
        <w:tc>
          <w:tcPr>
            <w:tcW w:w="2400" w:type="dxa"/>
            <w:vAlign w:val="center"/>
          </w:tcPr>
          <w:p w14:paraId="6D67E58D">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F78B22C">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第3.0.1条</w:t>
            </w:r>
          </w:p>
        </w:tc>
        <w:tc>
          <w:tcPr>
            <w:tcW w:w="2145" w:type="dxa"/>
            <w:vAlign w:val="center"/>
          </w:tcPr>
          <w:p w14:paraId="4E501149">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该厂有土地使用</w:t>
            </w:r>
            <w:r>
              <w:rPr>
                <w:rFonts w:hint="eastAsia" w:hAnsi="宋体" w:cs="宋体"/>
                <w:color w:val="0000FF"/>
                <w:kern w:val="2"/>
                <w:sz w:val="21"/>
                <w:szCs w:val="21"/>
                <w:lang w:val="en-US" w:eastAsia="zh-CN"/>
              </w:rPr>
              <w:t>证</w:t>
            </w:r>
            <w:r>
              <w:rPr>
                <w:rFonts w:hint="eastAsia" w:ascii="宋体" w:hAnsi="宋体" w:eastAsia="宋体" w:cs="宋体"/>
                <w:color w:val="000000" w:themeColor="text1"/>
                <w:kern w:val="2"/>
                <w:sz w:val="21"/>
                <w:szCs w:val="21"/>
                <w14:textFill>
                  <w14:solidFill>
                    <w14:schemeClr w14:val="tx1"/>
                  </w14:solidFill>
                </w14:textFill>
              </w:rPr>
              <w:t>，选址选择</w:t>
            </w:r>
            <w:r>
              <w:rPr>
                <w:rFonts w:hint="eastAsia" w:ascii="宋体" w:hAnsi="宋体" w:eastAsia="宋体" w:cs="宋体"/>
                <w:color w:val="000000" w:themeColor="text1"/>
                <w:sz w:val="21"/>
                <w:szCs w:val="21"/>
                <w14:textFill>
                  <w14:solidFill>
                    <w14:schemeClr w14:val="tx1"/>
                  </w14:solidFill>
                </w14:textFill>
              </w:rPr>
              <w:t>符合城镇总体规划的要求。</w:t>
            </w:r>
          </w:p>
        </w:tc>
        <w:tc>
          <w:tcPr>
            <w:tcW w:w="720" w:type="dxa"/>
            <w:vAlign w:val="center"/>
          </w:tcPr>
          <w:p w14:paraId="6E51AD1D">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9D8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6BC85D9">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2</w:t>
            </w:r>
          </w:p>
        </w:tc>
        <w:tc>
          <w:tcPr>
            <w:tcW w:w="2520" w:type="dxa"/>
            <w:vAlign w:val="center"/>
          </w:tcPr>
          <w:p w14:paraId="1D433B6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配套和服务工业企业的居住区、交通运输、动力公用设施、废料场及环境保护工程、施工基地等用地，应与厂区用地同时选择。 </w:t>
            </w:r>
          </w:p>
        </w:tc>
        <w:tc>
          <w:tcPr>
            <w:tcW w:w="2400" w:type="dxa"/>
            <w:vAlign w:val="center"/>
          </w:tcPr>
          <w:p w14:paraId="1DA66F43">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188FCBF1">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第3.0.2条</w:t>
            </w:r>
          </w:p>
        </w:tc>
        <w:tc>
          <w:tcPr>
            <w:tcW w:w="2145" w:type="dxa"/>
            <w:vAlign w:val="center"/>
          </w:tcPr>
          <w:p w14:paraId="7BAE36AE">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生活区、交通运输、动力公用设施、废料场及环境保护工程、施工基地等用地，厂区用地同时选择。</w:t>
            </w:r>
          </w:p>
        </w:tc>
        <w:tc>
          <w:tcPr>
            <w:tcW w:w="720" w:type="dxa"/>
            <w:vAlign w:val="center"/>
          </w:tcPr>
          <w:p w14:paraId="2062FDED">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DD3C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FFF604D">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520" w:type="dxa"/>
            <w:vAlign w:val="center"/>
          </w:tcPr>
          <w:p w14:paraId="547CCA1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原料、燃料或产品运输量（特别）大的工业企业，厂址宜靠近原料、燃料基地或产品主要销售地及协作条件好的地区。 </w:t>
            </w:r>
          </w:p>
        </w:tc>
        <w:tc>
          <w:tcPr>
            <w:tcW w:w="2400" w:type="dxa"/>
            <w:vAlign w:val="center"/>
          </w:tcPr>
          <w:p w14:paraId="31F69B4E">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6BE8209">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第3.0.4条</w:t>
            </w:r>
          </w:p>
        </w:tc>
        <w:tc>
          <w:tcPr>
            <w:tcW w:w="2145" w:type="dxa"/>
            <w:vAlign w:val="center"/>
          </w:tcPr>
          <w:p w14:paraId="7574CAF9">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原料的采购、销售地区为云南，条件较好。</w:t>
            </w:r>
          </w:p>
        </w:tc>
        <w:tc>
          <w:tcPr>
            <w:tcW w:w="720" w:type="dxa"/>
            <w:vAlign w:val="center"/>
          </w:tcPr>
          <w:p w14:paraId="32C52BE9">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0B9B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68A7AACE">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2520" w:type="dxa"/>
            <w:vAlign w:val="center"/>
          </w:tcPr>
          <w:p w14:paraId="63098C2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厂址应有便利和经济的交通运输条件，与厂外铁路、公路的连接，应便捷、工程量小。临近江、河、湖、海的厂址，通航条件满足企业运输要求时，应尽量利用水运，且厂址宜靠近适合建设码头的地段。 </w:t>
            </w:r>
          </w:p>
        </w:tc>
        <w:tc>
          <w:tcPr>
            <w:tcW w:w="2400" w:type="dxa"/>
            <w:vAlign w:val="center"/>
          </w:tcPr>
          <w:p w14:paraId="0A6DFEC7">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5128CF3">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第3.0.5条</w:t>
            </w:r>
          </w:p>
        </w:tc>
        <w:tc>
          <w:tcPr>
            <w:tcW w:w="2145" w:type="dxa"/>
            <w:vAlign w:val="center"/>
          </w:tcPr>
          <w:p w14:paraId="1E641051">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w:t>
            </w:r>
            <w:r>
              <w:rPr>
                <w:rFonts w:hint="eastAsia" w:ascii="宋体" w:hAnsi="宋体" w:eastAsia="宋体" w:cs="宋体"/>
                <w:color w:val="000000" w:themeColor="text1"/>
                <w:sz w:val="21"/>
                <w:szCs w:val="21"/>
                <w:lang w:eastAsia="zh-CN"/>
                <w14:textFill>
                  <w14:solidFill>
                    <w14:schemeClr w14:val="tx1"/>
                  </w14:solidFill>
                </w14:textFill>
              </w:rPr>
              <w:t>紧邻</w:t>
            </w:r>
            <w:r>
              <w:rPr>
                <w:rFonts w:hint="eastAsia" w:ascii="宋体" w:hAnsi="宋体" w:eastAsia="宋体" w:cs="宋体"/>
                <w:color w:val="000000" w:themeColor="text1"/>
                <w:sz w:val="21"/>
                <w:szCs w:val="21"/>
                <w:lang w:val="en-US" w:eastAsia="zh-CN"/>
                <w14:textFill>
                  <w14:solidFill>
                    <w14:schemeClr w14:val="tx1"/>
                  </w14:solidFill>
                </w14:textFill>
              </w:rPr>
              <w:t>乡村公路</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交通便利。</w:t>
            </w:r>
          </w:p>
        </w:tc>
        <w:tc>
          <w:tcPr>
            <w:tcW w:w="720" w:type="dxa"/>
            <w:vAlign w:val="center"/>
          </w:tcPr>
          <w:p w14:paraId="1A49D4C4">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EF8B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55A4C679">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2520" w:type="dxa"/>
            <w:vAlign w:val="center"/>
          </w:tcPr>
          <w:p w14:paraId="068D1855">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厂址应具有满足生产、生活及发展所必需的水源和电源。水源和电源与厂址之间的管线连接应尽量短捷，且用水、用电量（特别）大的工业企业宜靠近水源及电源地。 </w:t>
            </w:r>
          </w:p>
        </w:tc>
        <w:tc>
          <w:tcPr>
            <w:tcW w:w="2400" w:type="dxa"/>
            <w:vAlign w:val="center"/>
          </w:tcPr>
          <w:p w14:paraId="1589B25A">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2C55209F">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第3.0.6条</w:t>
            </w:r>
          </w:p>
        </w:tc>
        <w:tc>
          <w:tcPr>
            <w:tcW w:w="2145" w:type="dxa"/>
            <w:vAlign w:val="center"/>
          </w:tcPr>
          <w:p w14:paraId="27CD5F08">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厂址具有满足生产、生活及发展规划所必需的水源和电源。</w:t>
            </w:r>
          </w:p>
        </w:tc>
        <w:tc>
          <w:tcPr>
            <w:tcW w:w="720" w:type="dxa"/>
            <w:vAlign w:val="center"/>
          </w:tcPr>
          <w:p w14:paraId="46EB6EDB">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41E7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37" w:type="dxa"/>
            <w:vAlign w:val="center"/>
          </w:tcPr>
          <w:p w14:paraId="5BF90C57">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2520" w:type="dxa"/>
            <w:vAlign w:val="center"/>
          </w:tcPr>
          <w:p w14:paraId="5681E66D">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散发有害物质的工业企业厂址，应位于城镇、相邻工业企业和居住区全年最小频率风向的上风侧，不应位于窝风地段，并应满足有关防护距离的要求。 </w:t>
            </w:r>
          </w:p>
        </w:tc>
        <w:tc>
          <w:tcPr>
            <w:tcW w:w="2400" w:type="dxa"/>
            <w:vAlign w:val="center"/>
          </w:tcPr>
          <w:p w14:paraId="5FE7CF44">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39B73B10">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第3.0.7条</w:t>
            </w:r>
          </w:p>
        </w:tc>
        <w:tc>
          <w:tcPr>
            <w:tcW w:w="2145" w:type="dxa"/>
            <w:vAlign w:val="center"/>
          </w:tcPr>
          <w:p w14:paraId="291B32FF">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w:t>
            </w:r>
            <w:r>
              <w:rPr>
                <w:rFonts w:hint="eastAsia" w:ascii="宋体" w:hAnsi="宋体" w:eastAsia="宋体" w:cs="宋体"/>
                <w:color w:val="000000" w:themeColor="text1"/>
                <w:sz w:val="21"/>
                <w:szCs w:val="21"/>
                <w:lang w:eastAsia="zh-CN"/>
                <w14:textFill>
                  <w14:solidFill>
                    <w14:schemeClr w14:val="tx1"/>
                  </w14:solidFill>
                </w14:textFill>
              </w:rPr>
              <w:t>位于乡镇，</w:t>
            </w:r>
            <w:r>
              <w:rPr>
                <w:rFonts w:hint="eastAsia" w:ascii="宋体" w:hAnsi="宋体" w:eastAsia="宋体" w:cs="宋体"/>
                <w:color w:val="000000" w:themeColor="text1"/>
                <w:sz w:val="21"/>
                <w:szCs w:val="21"/>
                <w14:textFill>
                  <w14:solidFill>
                    <w14:schemeClr w14:val="tx1"/>
                  </w14:solidFill>
                </w14:textFill>
              </w:rPr>
              <w:t>不位于窝风地段。</w:t>
            </w:r>
          </w:p>
          <w:p w14:paraId="35E99A23">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720" w:type="dxa"/>
            <w:vAlign w:val="center"/>
          </w:tcPr>
          <w:p w14:paraId="41AC9F19">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9F74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652B55D">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p>
        </w:tc>
        <w:tc>
          <w:tcPr>
            <w:tcW w:w="2520" w:type="dxa"/>
            <w:vAlign w:val="center"/>
          </w:tcPr>
          <w:p w14:paraId="1990520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厂址应满足近期建设所必需的场地面积和适宜的建厂地形，并应根据工业企业远期发展规划的需要，留有适当的发展余地。</w:t>
            </w:r>
          </w:p>
        </w:tc>
        <w:tc>
          <w:tcPr>
            <w:tcW w:w="2400" w:type="dxa"/>
            <w:vAlign w:val="center"/>
          </w:tcPr>
          <w:p w14:paraId="450F04D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F5B1A6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第3.0.9条</w:t>
            </w:r>
          </w:p>
        </w:tc>
        <w:tc>
          <w:tcPr>
            <w:tcW w:w="2145" w:type="dxa"/>
            <w:vAlign w:val="center"/>
          </w:tcPr>
          <w:p w14:paraId="685AD193">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厂址满足近期建设所 </w:t>
            </w:r>
          </w:p>
          <w:p w14:paraId="0A8D7C65">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必需的场地面积和适 </w:t>
            </w:r>
          </w:p>
          <w:p w14:paraId="7FFC36D3">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宜的建厂地形，并预 </w:t>
            </w:r>
          </w:p>
          <w:p w14:paraId="77B0B9A8">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留有空地。</w:t>
            </w:r>
          </w:p>
        </w:tc>
        <w:tc>
          <w:tcPr>
            <w:tcW w:w="720" w:type="dxa"/>
            <w:vAlign w:val="center"/>
          </w:tcPr>
          <w:p w14:paraId="3C21F242">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69FBA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585B9957">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p>
        </w:tc>
        <w:tc>
          <w:tcPr>
            <w:tcW w:w="2520" w:type="dxa"/>
            <w:vAlign w:val="center"/>
          </w:tcPr>
          <w:p w14:paraId="7A32B15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厂址应满足适宜的地形坡度，尽量避开自然地形复杂、自然坡度大的地段，应避免将盆地、积水洼地作为厂址。</w:t>
            </w:r>
          </w:p>
        </w:tc>
        <w:tc>
          <w:tcPr>
            <w:tcW w:w="2400" w:type="dxa"/>
            <w:vAlign w:val="center"/>
          </w:tcPr>
          <w:p w14:paraId="49937A2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37E7340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第3.0.10条</w:t>
            </w:r>
          </w:p>
        </w:tc>
        <w:tc>
          <w:tcPr>
            <w:tcW w:w="2145" w:type="dxa"/>
            <w:vAlign w:val="center"/>
          </w:tcPr>
          <w:p w14:paraId="791AC05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厂址具有适宜的地形坡度，不属于自然地形复杂、自然坡度大的地段。</w:t>
            </w:r>
          </w:p>
        </w:tc>
        <w:tc>
          <w:tcPr>
            <w:tcW w:w="720" w:type="dxa"/>
            <w:vAlign w:val="center"/>
          </w:tcPr>
          <w:p w14:paraId="449FE9F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619D7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47CF57B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p>
        </w:tc>
        <w:tc>
          <w:tcPr>
            <w:tcW w:w="2520" w:type="dxa"/>
            <w:vAlign w:val="center"/>
          </w:tcPr>
          <w:p w14:paraId="45B798B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厂址应有利于同邻近工业企业和依托城镇在生产、交通运输、动力公用、机修和器材供应、综合利用、发展循环经济和生活设施等方面的协作等方面的协作。</w:t>
            </w:r>
          </w:p>
        </w:tc>
        <w:tc>
          <w:tcPr>
            <w:tcW w:w="2400" w:type="dxa"/>
            <w:vAlign w:val="center"/>
          </w:tcPr>
          <w:p w14:paraId="3FB5A973">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1A9A85F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第3.0.11条</w:t>
            </w:r>
          </w:p>
        </w:tc>
        <w:tc>
          <w:tcPr>
            <w:tcW w:w="2145" w:type="dxa"/>
            <w:vAlign w:val="center"/>
          </w:tcPr>
          <w:p w14:paraId="3D66C3F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项目厂址有利于依托城镇在生产、交通运输、动力公用、修理、综合利用和生活设施等方面的协作。</w:t>
            </w:r>
          </w:p>
        </w:tc>
        <w:tc>
          <w:tcPr>
            <w:tcW w:w="720" w:type="dxa"/>
            <w:vAlign w:val="center"/>
          </w:tcPr>
          <w:p w14:paraId="6E764F3A">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06227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091D15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p>
        </w:tc>
        <w:tc>
          <w:tcPr>
            <w:tcW w:w="2520" w:type="dxa"/>
            <w:vAlign w:val="center"/>
          </w:tcPr>
          <w:p w14:paraId="7F02C47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厂址应位于不受洪水、潮水或内涝威胁的地带，并应符合下列规定： </w:t>
            </w:r>
          </w:p>
          <w:p w14:paraId="055151E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 xml:space="preserve">当厂址不可避免不受洪水、潮水、或内涝威胁的地带时，必须采取防洪、排涝措施； </w:t>
            </w:r>
          </w:p>
          <w:p w14:paraId="0138553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凡受江、河、潮、海洪水、潮水或山洪威胁的工业企业，防洪标准应符合现行国家标准 《防洪标准 》GB 50201的有关规定。</w:t>
            </w:r>
          </w:p>
        </w:tc>
        <w:tc>
          <w:tcPr>
            <w:tcW w:w="2400" w:type="dxa"/>
            <w:vAlign w:val="center"/>
          </w:tcPr>
          <w:p w14:paraId="7CDEDA5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0BD10A2">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第3.0.12条</w:t>
            </w:r>
          </w:p>
        </w:tc>
        <w:tc>
          <w:tcPr>
            <w:tcW w:w="2145" w:type="dxa"/>
            <w:vAlign w:val="center"/>
          </w:tcPr>
          <w:p w14:paraId="7E3F746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该项目厂址不受洪水、潮水和内涝的威胁。</w:t>
            </w:r>
          </w:p>
        </w:tc>
        <w:tc>
          <w:tcPr>
            <w:tcW w:w="720" w:type="dxa"/>
            <w:vAlign w:val="center"/>
          </w:tcPr>
          <w:p w14:paraId="79FB8949">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48F03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6B98AE1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1</w:t>
            </w:r>
          </w:p>
        </w:tc>
        <w:tc>
          <w:tcPr>
            <w:tcW w:w="2520" w:type="dxa"/>
            <w:vAlign w:val="center"/>
          </w:tcPr>
          <w:p w14:paraId="67E20D8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下列地段和地区不应选为厂址： </w:t>
            </w:r>
          </w:p>
          <w:p w14:paraId="4805F6E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1）发震断层和抗震设防烈度为9 度及高于9度的地震区；</w:t>
            </w:r>
          </w:p>
          <w:p w14:paraId="7E686B1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2）有泥石流、滑坡、流沙、溶洞等直接危害的地段；</w:t>
            </w:r>
          </w:p>
          <w:p w14:paraId="63E4986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3）采矿陷落（错动）区地表界限内；</w:t>
            </w:r>
          </w:p>
          <w:p w14:paraId="0DE71AC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4）爆破危险界限内；</w:t>
            </w:r>
          </w:p>
          <w:p w14:paraId="17526CE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5）坝或堤决溃后可能淹没的地区； </w:t>
            </w:r>
          </w:p>
          <w:p w14:paraId="29E2216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6）有严重放射性物质污染影响区；</w:t>
            </w:r>
          </w:p>
          <w:p w14:paraId="0BC1554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7）生活居住区、文教区、水源保护区、名胜古迹、风景游览区、温泉、疗 养区、自然保护区和其它需要特别保护的区域；</w:t>
            </w:r>
          </w:p>
          <w:p w14:paraId="5911D61F">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8）对飞机起落、电台通讯、电视转播、雷达导航和重要的天文、气象、地震观察以及军事设施等规定有影响的范围内；</w:t>
            </w:r>
          </w:p>
          <w:p w14:paraId="6F380B1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9）很严重的自重湿陷性黄土地段，厚度大的新近堆积黄土地段和高压缩性的 饱和黄土地段等地质条件恶劣地段；</w:t>
            </w:r>
          </w:p>
          <w:p w14:paraId="270B4CC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10）具有开采价值的矿藏区； 11）受海啸或湖涌危害的地区。</w:t>
            </w:r>
          </w:p>
        </w:tc>
        <w:tc>
          <w:tcPr>
            <w:tcW w:w="2400" w:type="dxa"/>
            <w:vAlign w:val="center"/>
          </w:tcPr>
          <w:p w14:paraId="4BF21F37">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36E9A89B">
            <w:pPr>
              <w:pStyle w:val="161"/>
              <w:keepNext w:val="0"/>
              <w:keepLines w:val="0"/>
              <w:pageBreakBefore w:val="0"/>
              <w:widowControl w:val="0"/>
              <w:kinsoku/>
              <w:wordWrap/>
              <w:overflowPunct/>
              <w:topLinePunct w:val="0"/>
              <w:bidi w:val="0"/>
              <w:adjustRightInd/>
              <w:snapToGrid w:val="0"/>
              <w:spacing w:line="240"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第3.0.14条</w:t>
            </w:r>
          </w:p>
        </w:tc>
        <w:tc>
          <w:tcPr>
            <w:tcW w:w="2145" w:type="dxa"/>
            <w:vAlign w:val="center"/>
          </w:tcPr>
          <w:p w14:paraId="7B12FEC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厂址选择满足要求。</w:t>
            </w:r>
          </w:p>
        </w:tc>
        <w:tc>
          <w:tcPr>
            <w:tcW w:w="720" w:type="dxa"/>
            <w:vAlign w:val="center"/>
          </w:tcPr>
          <w:p w14:paraId="0D1C1656">
            <w:pPr>
              <w:pStyle w:val="161"/>
              <w:keepNext w:val="0"/>
              <w:keepLines w:val="0"/>
              <w:pageBreakBefore w:val="0"/>
              <w:widowControl w:val="0"/>
              <w:kinsoku/>
              <w:wordWrap/>
              <w:overflowPunct/>
              <w:topLinePunct w:val="0"/>
              <w:bidi w:val="0"/>
              <w:adjustRightInd/>
              <w:snapToGrid w:val="0"/>
              <w:spacing w:line="24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C46C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D7B6680">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12</w:t>
            </w:r>
          </w:p>
        </w:tc>
        <w:tc>
          <w:tcPr>
            <w:tcW w:w="2520" w:type="dxa"/>
            <w:vAlign w:val="center"/>
          </w:tcPr>
          <w:p w14:paraId="66F70C5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选址宜避开可能产生或存在危害健康的场所和设施，如垃圾填埋场、污水处理厂、气体输送管道，以及水、土壤可能已被原工业企业污染的地区；建设工程需要难以避开的，应首先进行卫生学评估，并根据评估结果采取必要的控制措施。设计单位应明确要求施工单位和建设单位制定施工期间和投产运行后突发公共卫生事件应急救援预案。</w:t>
            </w:r>
          </w:p>
        </w:tc>
        <w:tc>
          <w:tcPr>
            <w:tcW w:w="2400" w:type="dxa"/>
            <w:vAlign w:val="center"/>
          </w:tcPr>
          <w:p w14:paraId="07163FF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《工业企业设计卫生标准》（GBZ1-2010）</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5.1.3</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229AE7E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该项目厂址避开了可能产生或存在危害健康的场所和设施。</w:t>
            </w:r>
          </w:p>
        </w:tc>
        <w:tc>
          <w:tcPr>
            <w:tcW w:w="720" w:type="dxa"/>
            <w:vAlign w:val="center"/>
          </w:tcPr>
          <w:p w14:paraId="0A8E2A2F">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09294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687DE6B3">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13</w:t>
            </w:r>
          </w:p>
        </w:tc>
        <w:tc>
          <w:tcPr>
            <w:tcW w:w="2520" w:type="dxa"/>
            <w:vAlign w:val="center"/>
          </w:tcPr>
          <w:p w14:paraId="206E594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在同一工业区内布置不同卫生特征的工业企业时，宜避免不同有害因素产生交叉污染和联合作用。</w:t>
            </w:r>
          </w:p>
        </w:tc>
        <w:tc>
          <w:tcPr>
            <w:tcW w:w="2400" w:type="dxa"/>
            <w:vAlign w:val="center"/>
          </w:tcPr>
          <w:p w14:paraId="23FC5382">
            <w:pPr>
              <w:keepNext w:val="0"/>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《工业企业设计卫生标准》（GBZ1-2010）</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5.1.5</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60B77D7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厂址与周边工业企业基本不会产生交叉污染和联合作用。</w:t>
            </w:r>
          </w:p>
        </w:tc>
        <w:tc>
          <w:tcPr>
            <w:tcW w:w="720" w:type="dxa"/>
            <w:vAlign w:val="center"/>
          </w:tcPr>
          <w:p w14:paraId="0068A2A4">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36D13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2" w:type="dxa"/>
            <w:gridSpan w:val="5"/>
            <w:vAlign w:val="center"/>
          </w:tcPr>
          <w:p w14:paraId="214B8F87">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总平面布置检查</w:t>
            </w:r>
          </w:p>
        </w:tc>
      </w:tr>
      <w:tr w14:paraId="51C1A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578F6198">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520" w:type="dxa"/>
            <w:vAlign w:val="center"/>
          </w:tcPr>
          <w:p w14:paraId="0E86460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产生有害气体、烟、雾、粉尘等有害物质的工业企业与居住区之间，应按现行国家标准《制定地方大气污染物排放标准的技术方法》GB/T 3840和有关工业企业设计卫生标准的规定，设置卫生防护距离，并应符合下列规定：</w:t>
            </w:r>
          </w:p>
          <w:p w14:paraId="4D6B581D">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1）卫生防护距离用地应利用原有绿地、水塘、河流、山岗和不利于建筑房屋的地带；</w:t>
            </w:r>
          </w:p>
          <w:p w14:paraId="7C9F2D7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2）在卫生防护距离内不应设置永久居住的房屋，并应绿化。</w:t>
            </w:r>
          </w:p>
        </w:tc>
        <w:tc>
          <w:tcPr>
            <w:tcW w:w="2400" w:type="dxa"/>
            <w:vAlign w:val="center"/>
          </w:tcPr>
          <w:p w14:paraId="3683B2B2">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5E5C8ED3">
            <w:pPr>
              <w:pStyle w:val="36"/>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第4.2.1条</w:t>
            </w:r>
          </w:p>
        </w:tc>
        <w:tc>
          <w:tcPr>
            <w:tcW w:w="2145" w:type="dxa"/>
            <w:vAlign w:val="center"/>
          </w:tcPr>
          <w:p w14:paraId="78168E0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本项目的办公区、生产区分开设置。</w:t>
            </w:r>
          </w:p>
        </w:tc>
        <w:tc>
          <w:tcPr>
            <w:tcW w:w="720" w:type="dxa"/>
            <w:vAlign w:val="center"/>
          </w:tcPr>
          <w:p w14:paraId="3C6658C7">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6024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D70CE35">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520" w:type="dxa"/>
            <w:vAlign w:val="center"/>
          </w:tcPr>
          <w:p w14:paraId="45344C3F">
            <w:pPr>
              <w:pStyle w:val="161"/>
              <w:widowControl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工业企业总体规划，应符合城乡总体规划和土地利用总体规划的要求。有条件时，规划应与城乡和邻近工业企业在生产、交通运输、动力公用、机修和器材供应、综合利用及生活设施等方面进行协作。</w:t>
            </w:r>
          </w:p>
        </w:tc>
        <w:tc>
          <w:tcPr>
            <w:tcW w:w="2400" w:type="dxa"/>
            <w:vAlign w:val="center"/>
          </w:tcPr>
          <w:p w14:paraId="19CFE3A2">
            <w:pPr>
              <w:pStyle w:val="161"/>
              <w:widowControl w:val="0"/>
              <w:snapToGrid w:val="0"/>
              <w:spacing w:line="300" w:lineRule="exact"/>
              <w:contextualSpacing/>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《工业企业总平面设计规范》（GB50187-2012）第4.1.2条</w:t>
            </w:r>
          </w:p>
        </w:tc>
        <w:tc>
          <w:tcPr>
            <w:tcW w:w="2145" w:type="dxa"/>
            <w:vAlign w:val="center"/>
          </w:tcPr>
          <w:p w14:paraId="58DCB417">
            <w:pPr>
              <w:pStyle w:val="161"/>
              <w:widowControl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工业企业总体规划，符合城乡总体规划和土地利用总体规划的要求。</w:t>
            </w:r>
          </w:p>
        </w:tc>
        <w:tc>
          <w:tcPr>
            <w:tcW w:w="720" w:type="dxa"/>
            <w:vAlign w:val="center"/>
          </w:tcPr>
          <w:p w14:paraId="77C55762">
            <w:pPr>
              <w:pStyle w:val="161"/>
              <w:widowControl w:val="0"/>
              <w:snapToGrid w:val="0"/>
              <w:spacing w:line="300" w:lineRule="exact"/>
              <w:contextualSpacing/>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2CFD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183422D">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520" w:type="dxa"/>
          </w:tcPr>
          <w:p w14:paraId="0C3E15E0">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变配电站宜位于负荷中心，靠近主要用户。不受粉尘、水雾、腐蚀性气体影响。</w:t>
            </w:r>
          </w:p>
        </w:tc>
        <w:tc>
          <w:tcPr>
            <w:tcW w:w="2400" w:type="dxa"/>
            <w:vAlign w:val="center"/>
          </w:tcPr>
          <w:p w14:paraId="47EEB949">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《工业企业总平面设计规范》</w:t>
            </w:r>
            <w:r>
              <w:rPr>
                <w:rFonts w:hint="eastAsia" w:ascii="宋体" w:hAnsi="宋体" w:eastAsia="宋体" w:cs="宋体"/>
                <w:color w:val="000000" w:themeColor="text1"/>
                <w:sz w:val="21"/>
                <w:szCs w:val="21"/>
                <w14:textFill>
                  <w14:solidFill>
                    <w14:schemeClr w14:val="tx1"/>
                  </w14:solidFill>
                </w14:textFill>
              </w:rPr>
              <w:t>3.4.4</w:t>
            </w:r>
          </w:p>
        </w:tc>
        <w:tc>
          <w:tcPr>
            <w:tcW w:w="2145" w:type="dxa"/>
            <w:vAlign w:val="center"/>
          </w:tcPr>
          <w:p w14:paraId="2842DDE8">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变压器设置厂区西</w:t>
            </w:r>
            <w:r>
              <w:rPr>
                <w:rFonts w:hint="eastAsia" w:ascii="宋体" w:hAnsi="宋体" w:eastAsia="宋体" w:cs="宋体"/>
                <w:color w:val="000000" w:themeColor="text1"/>
                <w:sz w:val="21"/>
                <w:szCs w:val="21"/>
                <w:lang w:val="en-US" w:eastAsia="zh-CN"/>
                <w14:textFill>
                  <w14:solidFill>
                    <w14:schemeClr w14:val="tx1"/>
                  </w14:solidFill>
                </w14:textFill>
              </w:rPr>
              <w:t>南侧，</w:t>
            </w:r>
            <w:r>
              <w:rPr>
                <w:rFonts w:hint="eastAsia" w:ascii="宋体" w:hAnsi="宋体" w:eastAsia="宋体" w:cs="宋体"/>
                <w:color w:val="000000" w:themeColor="text1"/>
                <w:sz w:val="21"/>
                <w:szCs w:val="21"/>
                <w:lang w:val="zh-CN"/>
                <w14:textFill>
                  <w14:solidFill>
                    <w14:schemeClr w14:val="tx1"/>
                  </w14:solidFill>
                </w14:textFill>
              </w:rPr>
              <w:t>不受粉尘、水雾、腐蚀性气体影响</w:t>
            </w:r>
            <w:r>
              <w:rPr>
                <w:rFonts w:hint="eastAsia" w:ascii="宋体" w:hAnsi="宋体" w:eastAsia="宋体" w:cs="宋体"/>
                <w:color w:val="000000" w:themeColor="text1"/>
                <w:sz w:val="21"/>
                <w:szCs w:val="21"/>
                <w14:textFill>
                  <w14:solidFill>
                    <w14:schemeClr w14:val="tx1"/>
                  </w14:solidFill>
                </w14:textFill>
              </w:rPr>
              <w:t>。</w:t>
            </w:r>
          </w:p>
        </w:tc>
        <w:tc>
          <w:tcPr>
            <w:tcW w:w="720" w:type="dxa"/>
            <w:vAlign w:val="center"/>
          </w:tcPr>
          <w:p w14:paraId="0FA228C6">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tr w14:paraId="135B0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4232F6D9">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2520" w:type="dxa"/>
            <w:vAlign w:val="center"/>
          </w:tcPr>
          <w:p w14:paraId="465A86F2">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出入口数量是否满足生产运输需要。</w:t>
            </w:r>
          </w:p>
        </w:tc>
        <w:tc>
          <w:tcPr>
            <w:tcW w:w="2400" w:type="dxa"/>
            <w:vAlign w:val="center"/>
          </w:tcPr>
          <w:p w14:paraId="572A25D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《工业企业总平面设计规范》</w:t>
            </w:r>
            <w:r>
              <w:rPr>
                <w:rFonts w:hint="eastAsia" w:ascii="宋体" w:hAnsi="宋体" w:eastAsia="宋体" w:cs="宋体"/>
                <w:color w:val="000000" w:themeColor="text1"/>
                <w:sz w:val="21"/>
                <w:szCs w:val="21"/>
                <w14:textFill>
                  <w14:solidFill>
                    <w14:schemeClr w14:val="tx1"/>
                  </w14:solidFill>
                </w14:textFill>
              </w:rPr>
              <w:t>（GB50187-2012）</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14:textFill>
                  <w14:solidFill>
                    <w14:schemeClr w14:val="tx1"/>
                  </w14:solidFill>
                </w14:textFill>
              </w:rPr>
              <w:t>.7.4</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1C5026D3">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厂区的出入口，满足要求</w:t>
            </w:r>
          </w:p>
        </w:tc>
        <w:tc>
          <w:tcPr>
            <w:tcW w:w="720" w:type="dxa"/>
            <w:vAlign w:val="center"/>
          </w:tcPr>
          <w:p w14:paraId="26E9EF2E">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tr w14:paraId="7398A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CD3885A">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2520" w:type="dxa"/>
            <w:vAlign w:val="center"/>
          </w:tcPr>
          <w:p w14:paraId="32AE7975">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在总体规划的基础上，根据工业企业的性质、规模、生产流程、交通运输、环境保护，以及防火、安全、卫生、节能、施工、检修、厂区发展等要求，结合场地自然条件，经技术经济比较后择优确定。</w:t>
            </w:r>
          </w:p>
        </w:tc>
        <w:tc>
          <w:tcPr>
            <w:tcW w:w="2400" w:type="dxa"/>
            <w:vAlign w:val="center"/>
          </w:tcPr>
          <w:p w14:paraId="7CDBD8CD">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29BF23DE">
            <w:pPr>
              <w:pStyle w:val="36"/>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第 5.1.1条 </w:t>
            </w:r>
          </w:p>
        </w:tc>
        <w:tc>
          <w:tcPr>
            <w:tcW w:w="2145" w:type="dxa"/>
            <w:vAlign w:val="center"/>
          </w:tcPr>
          <w:p w14:paraId="2994DCD2">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厂内总平面布置考虑了上述要求。</w:t>
            </w:r>
          </w:p>
        </w:tc>
        <w:tc>
          <w:tcPr>
            <w:tcW w:w="720" w:type="dxa"/>
            <w:vAlign w:val="center"/>
          </w:tcPr>
          <w:p w14:paraId="494DAC2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BE39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0FE4116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2520" w:type="dxa"/>
            <w:vAlign w:val="center"/>
          </w:tcPr>
          <w:p w14:paraId="608E64B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总平面布置应节约集约用地，提高土地利用率。布置时并应符合下列要求：1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在符合生产流程、操作要求和使用功能的前提下，建筑物、构筑物等设施，应采用联合、集中、多层布置；2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应按企业规模和功能分区，合理地确定通道宽度；3</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厂区功能分区及建筑物、构筑物的外形宜规整；4</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功能分区内各项设施的布置，应紧凑、合理。</w:t>
            </w:r>
          </w:p>
        </w:tc>
        <w:tc>
          <w:tcPr>
            <w:tcW w:w="2400" w:type="dxa"/>
            <w:vAlign w:val="center"/>
          </w:tcPr>
          <w:p w14:paraId="5AE3314A">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99D23E1">
            <w:pPr>
              <w:pStyle w:val="36"/>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第5.1.2条</w:t>
            </w:r>
          </w:p>
        </w:tc>
        <w:tc>
          <w:tcPr>
            <w:tcW w:w="2145" w:type="dxa"/>
            <w:vAlign w:val="center"/>
          </w:tcPr>
          <w:p w14:paraId="02A348E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本项目工艺设备布置紧凑、合理，作业通道基本满足要求。</w:t>
            </w:r>
          </w:p>
        </w:tc>
        <w:tc>
          <w:tcPr>
            <w:tcW w:w="720" w:type="dxa"/>
            <w:vAlign w:val="center"/>
          </w:tcPr>
          <w:p w14:paraId="234ABAC1">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4A52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06C39C3C">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p>
        </w:tc>
        <w:tc>
          <w:tcPr>
            <w:tcW w:w="2520" w:type="dxa"/>
            <w:vAlign w:val="center"/>
          </w:tcPr>
          <w:p w14:paraId="65DAA49D">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厂区的通道宽度，应符合下列要求：1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应符合通道两侧建筑物、构筑物及露天设施对防火、安全与卫生间距的要求；2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应符合铁路、道路与带式输送机通廊等工业运输线路的布置要求；3</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应符合各种工程管线的布置要求；4</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应符合绿化布置的要求；5</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应符合施工、安装与检修的要求；6</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应符合竖向设计的要求；7</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应符合预留发展用地的要求。</w:t>
            </w:r>
          </w:p>
        </w:tc>
        <w:tc>
          <w:tcPr>
            <w:tcW w:w="2400" w:type="dxa"/>
            <w:vAlign w:val="center"/>
          </w:tcPr>
          <w:p w14:paraId="07B333DA">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4B030CE">
            <w:pPr>
              <w:pStyle w:val="36"/>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第5.1.4 条 </w:t>
            </w:r>
          </w:p>
        </w:tc>
        <w:tc>
          <w:tcPr>
            <w:tcW w:w="2145" w:type="dxa"/>
            <w:vAlign w:val="center"/>
          </w:tcPr>
          <w:p w14:paraId="7A0237F3">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本项目工艺设备布置紧凑、合理，厂内通道满足要求。</w:t>
            </w:r>
          </w:p>
        </w:tc>
        <w:tc>
          <w:tcPr>
            <w:tcW w:w="720" w:type="dxa"/>
            <w:vAlign w:val="center"/>
          </w:tcPr>
          <w:p w14:paraId="3A90241F">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A677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0AA7F5C">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p>
        </w:tc>
        <w:tc>
          <w:tcPr>
            <w:tcW w:w="2520" w:type="dxa"/>
            <w:vAlign w:val="center"/>
          </w:tcPr>
          <w:p w14:paraId="10EB69E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总平面布置，应充分利用地形、地势、工程地质及水文地质条件，布置建筑物、构筑物和有关设施，应减少土（石）方工程量和基础工程费用，并应符合下列要求：1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当厂区地形坡度较大时，建筑物、构筑物的长轴宜顺等高线布置；2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应结合地形及竖向设计，为物料采用自流管道及高站台、低货位等设施创造条件。</w:t>
            </w:r>
          </w:p>
        </w:tc>
        <w:tc>
          <w:tcPr>
            <w:tcW w:w="2400" w:type="dxa"/>
            <w:vAlign w:val="center"/>
          </w:tcPr>
          <w:p w14:paraId="7BA4EC7E">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78FAC5F7">
            <w:pPr>
              <w:pStyle w:val="36"/>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第5.1.5条  </w:t>
            </w:r>
          </w:p>
        </w:tc>
        <w:tc>
          <w:tcPr>
            <w:tcW w:w="2145" w:type="dxa"/>
            <w:vAlign w:val="center"/>
          </w:tcPr>
          <w:p w14:paraId="4E52452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厂内建构筑物布置依托了原有地形、地势条件进行布置。</w:t>
            </w:r>
          </w:p>
        </w:tc>
        <w:tc>
          <w:tcPr>
            <w:tcW w:w="720" w:type="dxa"/>
            <w:vAlign w:val="center"/>
          </w:tcPr>
          <w:p w14:paraId="7E58A190">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C74C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637" w:type="dxa"/>
            <w:vAlign w:val="center"/>
          </w:tcPr>
          <w:p w14:paraId="08798F4C">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p>
        </w:tc>
        <w:tc>
          <w:tcPr>
            <w:tcW w:w="2520" w:type="dxa"/>
            <w:vAlign w:val="center"/>
          </w:tcPr>
          <w:p w14:paraId="150EAD5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总平面布置应采取防止高温、有害气体、烟、雾、粉尘、强烈振动和高噪声对周围环境和人身安全的危害的安全保障措施，并应符合现行国家有关工业企业卫生设计标准的规定。</w:t>
            </w:r>
          </w:p>
        </w:tc>
        <w:tc>
          <w:tcPr>
            <w:tcW w:w="2400" w:type="dxa"/>
            <w:vAlign w:val="center"/>
          </w:tcPr>
          <w:p w14:paraId="650965B8">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ABF6530">
            <w:pPr>
              <w:pStyle w:val="36"/>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第5.1.7条</w:t>
            </w:r>
          </w:p>
        </w:tc>
        <w:tc>
          <w:tcPr>
            <w:tcW w:w="2145" w:type="dxa"/>
            <w:vAlign w:val="center"/>
          </w:tcPr>
          <w:p w14:paraId="697CCB1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w:t>
            </w:r>
            <w:r>
              <w:rPr>
                <w:rFonts w:hint="eastAsia" w:ascii="宋体" w:hAnsi="宋体" w:eastAsia="宋体" w:cs="宋体"/>
                <w:color w:val="000000" w:themeColor="text1"/>
                <w:sz w:val="21"/>
                <w:szCs w:val="21"/>
                <w:lang w:eastAsia="zh-CN"/>
                <w14:textFill>
                  <w14:solidFill>
                    <w14:schemeClr w14:val="tx1"/>
                  </w14:solidFill>
                </w14:textFill>
              </w:rPr>
              <w:t>不</w:t>
            </w:r>
            <w:r>
              <w:rPr>
                <w:rFonts w:hint="eastAsia" w:ascii="宋体" w:hAnsi="宋体" w:eastAsia="宋体" w:cs="宋体"/>
                <w:color w:val="000000" w:themeColor="text1"/>
                <w:sz w:val="21"/>
                <w:szCs w:val="21"/>
                <w14:textFill>
                  <w14:solidFill>
                    <w14:schemeClr w14:val="tx1"/>
                  </w14:solidFill>
                </w14:textFill>
              </w:rPr>
              <w:t>产生有害物气体，</w:t>
            </w:r>
            <w:r>
              <w:rPr>
                <w:rFonts w:hint="eastAsia" w:ascii="宋体" w:hAnsi="宋体" w:eastAsia="宋体" w:cs="宋体"/>
                <w:color w:val="000000" w:themeColor="text1"/>
                <w:sz w:val="21"/>
                <w:szCs w:val="21"/>
                <w:lang w:eastAsia="zh-CN"/>
                <w14:textFill>
                  <w14:solidFill>
                    <w14:schemeClr w14:val="tx1"/>
                  </w14:solidFill>
                </w14:textFill>
              </w:rPr>
              <w:t>本</w:t>
            </w:r>
            <w:r>
              <w:rPr>
                <w:rFonts w:hint="eastAsia" w:ascii="宋体" w:hAnsi="宋体" w:eastAsia="宋体" w:cs="宋体"/>
                <w:color w:val="000000" w:themeColor="text1"/>
                <w:sz w:val="21"/>
                <w:szCs w:val="21"/>
                <w14:textFill>
                  <w14:solidFill>
                    <w14:schemeClr w14:val="tx1"/>
                  </w14:solidFill>
                </w14:textFill>
              </w:rPr>
              <w:t>项目采取了除尘、降噪措施，配发了相应</w:t>
            </w:r>
            <w:r>
              <w:rPr>
                <w:rFonts w:hint="eastAsia" w:ascii="宋体" w:hAnsi="宋体" w:eastAsia="宋体" w:cs="宋体"/>
                <w:color w:val="000000" w:themeColor="text1"/>
                <w:sz w:val="21"/>
                <w:szCs w:val="21"/>
                <w:lang w:eastAsia="zh-CN"/>
                <w14:textFill>
                  <w14:solidFill>
                    <w14:schemeClr w14:val="tx1"/>
                  </w14:solidFill>
                </w14:textFill>
              </w:rPr>
              <w:t>的</w:t>
            </w:r>
            <w:r>
              <w:rPr>
                <w:rFonts w:hint="eastAsia" w:ascii="宋体" w:hAnsi="宋体" w:eastAsia="宋体" w:cs="宋体"/>
                <w:color w:val="000000" w:themeColor="text1"/>
                <w:sz w:val="21"/>
                <w:szCs w:val="21"/>
                <w14:textFill>
                  <w14:solidFill>
                    <w14:schemeClr w14:val="tx1"/>
                  </w14:solidFill>
                </w14:textFill>
              </w:rPr>
              <w:t>劳</w:t>
            </w:r>
            <w:r>
              <w:rPr>
                <w:rFonts w:hint="eastAsia" w:ascii="宋体" w:hAnsi="宋体" w:eastAsia="宋体" w:cs="宋体"/>
                <w:color w:val="000000" w:themeColor="text1"/>
                <w:sz w:val="21"/>
                <w:szCs w:val="21"/>
                <w:lang w:eastAsia="zh-CN"/>
                <w14:textFill>
                  <w14:solidFill>
                    <w14:schemeClr w14:val="tx1"/>
                  </w14:solidFill>
                </w14:textFill>
              </w:rPr>
              <w:t>动防护用</w:t>
            </w:r>
            <w:r>
              <w:rPr>
                <w:rFonts w:hint="eastAsia" w:ascii="宋体" w:hAnsi="宋体" w:eastAsia="宋体" w:cs="宋体"/>
                <w:color w:val="000000" w:themeColor="text1"/>
                <w:sz w:val="21"/>
                <w:szCs w:val="21"/>
                <w14:textFill>
                  <w14:solidFill>
                    <w14:schemeClr w14:val="tx1"/>
                  </w14:solidFill>
                </w14:textFill>
              </w:rPr>
              <w:t>品。</w:t>
            </w:r>
          </w:p>
        </w:tc>
        <w:tc>
          <w:tcPr>
            <w:tcW w:w="720" w:type="dxa"/>
            <w:vAlign w:val="center"/>
          </w:tcPr>
          <w:p w14:paraId="25040F88">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5E8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955C77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p>
        </w:tc>
        <w:tc>
          <w:tcPr>
            <w:tcW w:w="2520" w:type="dxa"/>
            <w:vAlign w:val="center"/>
          </w:tcPr>
          <w:p w14:paraId="11E805E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总平面布置，应合理地组织货流和人流，并应符合下列要求：1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运输线路的布置，应保证物流顺畅、径路短捷、不折返；2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应避免运输繁忙的铁路与道路平面交叉；3</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应使人、货分流，应避免运输繁忙的货流与人流交叉；4应避免进出厂的主要货流与企业外部交通干线的平面交叉。</w:t>
            </w:r>
          </w:p>
        </w:tc>
        <w:tc>
          <w:tcPr>
            <w:tcW w:w="2400" w:type="dxa"/>
            <w:vAlign w:val="center"/>
          </w:tcPr>
          <w:p w14:paraId="4B9FE924">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1E1720B">
            <w:pPr>
              <w:pStyle w:val="161"/>
              <w:keepNext w:val="0"/>
              <w:keepLines w:val="0"/>
              <w:pageBreakBefore w:val="0"/>
              <w:widowControl w:val="0"/>
              <w:kinsoku/>
              <w:wordWrap/>
              <w:overflowPunct/>
              <w:topLinePunct w:val="0"/>
              <w:bidi w:val="0"/>
              <w:adjustRightInd/>
              <w:snapToGrid w:val="0"/>
              <w:spacing w:line="240"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第5.1.8条</w:t>
            </w:r>
          </w:p>
        </w:tc>
        <w:tc>
          <w:tcPr>
            <w:tcW w:w="2145" w:type="dxa"/>
            <w:vAlign w:val="center"/>
          </w:tcPr>
          <w:p w14:paraId="3D738E3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厂区交通运输通畅。</w:t>
            </w:r>
          </w:p>
        </w:tc>
        <w:tc>
          <w:tcPr>
            <w:tcW w:w="720" w:type="dxa"/>
            <w:vAlign w:val="center"/>
          </w:tcPr>
          <w:p w14:paraId="7AD09DB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D9D2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8" w:hRule="atLeast"/>
          <w:jc w:val="center"/>
        </w:trPr>
        <w:tc>
          <w:tcPr>
            <w:tcW w:w="637" w:type="dxa"/>
            <w:vAlign w:val="center"/>
          </w:tcPr>
          <w:p w14:paraId="654F8BCB">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bookmarkStart w:id="678" w:name="_Toc309682498"/>
            <w:bookmarkStart w:id="679" w:name="_Toc278151422"/>
            <w:bookmarkStart w:id="680" w:name="_Toc201767300"/>
            <w:bookmarkStart w:id="681" w:name="_Toc327017835"/>
            <w:bookmarkStart w:id="682" w:name="_Toc202575710"/>
            <w:r>
              <w:rPr>
                <w:rFonts w:hint="eastAsia" w:ascii="宋体" w:hAnsi="宋体" w:eastAsia="宋体" w:cs="宋体"/>
                <w:color w:val="000000" w:themeColor="text1"/>
                <w:sz w:val="21"/>
                <w:szCs w:val="21"/>
                <w14:textFill>
                  <w14:solidFill>
                    <w14:schemeClr w14:val="tx1"/>
                  </w14:solidFill>
                </w14:textFill>
              </w:rPr>
              <w:t>11</w:t>
            </w:r>
          </w:p>
        </w:tc>
        <w:tc>
          <w:tcPr>
            <w:tcW w:w="2520" w:type="dxa"/>
            <w:vAlign w:val="center"/>
          </w:tcPr>
          <w:p w14:paraId="22031232">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仓库与堆场，应根据贮存物料的性质、货流出入方向、供应对象、贮存面积、运输方式等因素，按不同类别相对集中布置，并为运输、装卸、管理创造有利条件，且应符合国家现行的防火、防爆、安全、卫生等工程设计标准的有关规定。</w:t>
            </w:r>
          </w:p>
        </w:tc>
        <w:tc>
          <w:tcPr>
            <w:tcW w:w="2400" w:type="dxa"/>
            <w:vAlign w:val="center"/>
          </w:tcPr>
          <w:p w14:paraId="26BBB023">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w:t>
            </w:r>
            <w:r>
              <w:rPr>
                <w:rFonts w:hint="eastAsia" w:ascii="宋体" w:hAnsi="宋体" w:eastAsia="宋体" w:cs="宋体"/>
                <w:color w:val="000000" w:themeColor="text1"/>
                <w:sz w:val="21"/>
                <w:szCs w:val="21"/>
                <w:lang w:val="zh-CN"/>
                <w14:textFill>
                  <w14:solidFill>
                    <w14:schemeClr w14:val="tx1"/>
                  </w14:solidFill>
                </w14:textFill>
              </w:rPr>
              <w:t>GB50187-2012）第</w:t>
            </w:r>
            <w:r>
              <w:rPr>
                <w:rFonts w:hint="eastAsia" w:ascii="宋体" w:hAnsi="宋体" w:eastAsia="宋体" w:cs="宋体"/>
                <w:color w:val="000000" w:themeColor="text1"/>
                <w:sz w:val="21"/>
                <w:szCs w:val="21"/>
                <w14:textFill>
                  <w14:solidFill>
                    <w14:schemeClr w14:val="tx1"/>
                  </w14:solidFill>
                </w14:textFill>
              </w:rPr>
              <w:t>5</w:t>
            </w:r>
            <w:r>
              <w:rPr>
                <w:rFonts w:hint="eastAsia" w:ascii="宋体" w:hAnsi="宋体" w:eastAsia="宋体" w:cs="宋体"/>
                <w:color w:val="000000" w:themeColor="text1"/>
                <w:sz w:val="21"/>
                <w:szCs w:val="21"/>
                <w:lang w:val="zh-CN"/>
                <w14:textFill>
                  <w14:solidFill>
                    <w14:schemeClr w14:val="tx1"/>
                  </w14:solidFill>
                </w14:textFill>
              </w:rPr>
              <w:t>.6.1条</w:t>
            </w:r>
          </w:p>
        </w:tc>
        <w:tc>
          <w:tcPr>
            <w:tcW w:w="2145" w:type="dxa"/>
            <w:vAlign w:val="center"/>
          </w:tcPr>
          <w:p w14:paraId="62BE931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仓库</w:t>
            </w:r>
            <w:r>
              <w:rPr>
                <w:rFonts w:hint="eastAsia" w:ascii="宋体" w:hAnsi="宋体" w:eastAsia="宋体" w:cs="宋体"/>
                <w:color w:val="000000" w:themeColor="text1"/>
                <w:sz w:val="21"/>
                <w:szCs w:val="21"/>
                <w:lang w:val="en-US" w:eastAsia="zh-CN"/>
                <w14:textFill>
                  <w14:solidFill>
                    <w14:schemeClr w14:val="tx1"/>
                  </w14:solidFill>
                </w14:textFill>
              </w:rPr>
              <w:t>原料分区存放</w:t>
            </w:r>
            <w:r>
              <w:rPr>
                <w:rFonts w:hint="eastAsia" w:ascii="宋体" w:hAnsi="宋体" w:eastAsia="宋体" w:cs="宋体"/>
                <w:color w:val="000000" w:themeColor="text1"/>
                <w:sz w:val="21"/>
                <w:szCs w:val="21"/>
                <w:lang w:val="zh-CN"/>
                <w14:textFill>
                  <w14:solidFill>
                    <w14:schemeClr w14:val="tx1"/>
                  </w14:solidFill>
                </w14:textFill>
              </w:rPr>
              <w:t>。</w:t>
            </w:r>
          </w:p>
        </w:tc>
        <w:tc>
          <w:tcPr>
            <w:tcW w:w="720" w:type="dxa"/>
            <w:vAlign w:val="center"/>
          </w:tcPr>
          <w:p w14:paraId="365B2695">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D4A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778CF79">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12</w:t>
            </w:r>
          </w:p>
        </w:tc>
        <w:tc>
          <w:tcPr>
            <w:tcW w:w="2520" w:type="dxa"/>
            <w:vAlign w:val="center"/>
          </w:tcPr>
          <w:p w14:paraId="78E24F1D">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员工宿舍严禁设置在厂房内。</w:t>
            </w:r>
          </w:p>
        </w:tc>
        <w:tc>
          <w:tcPr>
            <w:tcW w:w="2400" w:type="dxa"/>
            <w:vAlign w:val="center"/>
          </w:tcPr>
          <w:p w14:paraId="48BC4289">
            <w:pPr>
              <w:keepNext w:val="0"/>
              <w:keepLines w:val="0"/>
              <w:pageBreakBefore w:val="0"/>
              <w:tabs>
                <w:tab w:val="left" w:pos="2898"/>
              </w:tabs>
              <w:kinsoku/>
              <w:wordWrap/>
              <w:overflowPunct/>
              <w:topLinePunct w:val="0"/>
              <w:bidi w:val="0"/>
              <w:snapToGrid w:val="0"/>
              <w:jc w:val="both"/>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《建筑设计防火规范〔2018版〕》（GB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lang w:val="zh-CN"/>
                <w14:textFill>
                  <w14:solidFill>
                    <w14:schemeClr w14:val="tx1"/>
                  </w14:solidFill>
                </w14:textFill>
              </w:rPr>
              <w:t>50016</w:t>
            </w:r>
          </w:p>
          <w:p w14:paraId="2AA23604">
            <w:pPr>
              <w:keepNext w:val="0"/>
              <w:keepLines w:val="0"/>
              <w:pageBreakBefore w:val="0"/>
              <w:tabs>
                <w:tab w:val="left" w:pos="2898"/>
              </w:tabs>
              <w:kinsoku/>
              <w:wordWrap/>
              <w:overflowPunct/>
              <w:topLinePunct w:val="0"/>
              <w:bidi w:val="0"/>
              <w:snapToGrid w:val="0"/>
              <w:jc w:val="both"/>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-2014）第3.3.5条</w:t>
            </w:r>
          </w:p>
        </w:tc>
        <w:tc>
          <w:tcPr>
            <w:tcW w:w="2145" w:type="dxa"/>
            <w:vAlign w:val="center"/>
          </w:tcPr>
          <w:p w14:paraId="6009E38A">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项目厂房内未设置员工宿舍。</w:t>
            </w:r>
          </w:p>
        </w:tc>
        <w:tc>
          <w:tcPr>
            <w:tcW w:w="720" w:type="dxa"/>
            <w:vAlign w:val="center"/>
          </w:tcPr>
          <w:p w14:paraId="3BA5B5D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tr w14:paraId="549FB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353C139">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13</w:t>
            </w:r>
          </w:p>
        </w:tc>
        <w:tc>
          <w:tcPr>
            <w:tcW w:w="2520" w:type="dxa"/>
            <w:shd w:val="clear" w:color="auto" w:fill="auto"/>
            <w:vAlign w:val="center"/>
          </w:tcPr>
          <w:p w14:paraId="584389AD">
            <w:pPr>
              <w:pStyle w:val="354"/>
              <w:overflowPunct w:val="0"/>
              <w:snapToGrid w:val="0"/>
              <w:jc w:val="both"/>
              <w:rPr>
                <w:rFonts w:hint="eastAsia" w:ascii="宋体" w:hAnsi="宋体" w:eastAsia="宋体" w:cs="宋体"/>
                <w:color w:val="000000" w:themeColor="text1"/>
                <w:sz w:val="21"/>
                <w:szCs w:val="21"/>
                <w:lang w:val="zh-CN"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员工宿舍严禁设置在仓库内。</w:t>
            </w:r>
          </w:p>
        </w:tc>
        <w:tc>
          <w:tcPr>
            <w:tcW w:w="2400" w:type="dxa"/>
            <w:shd w:val="clear" w:color="auto" w:fill="auto"/>
            <w:vAlign w:val="center"/>
          </w:tcPr>
          <w:p w14:paraId="63512C81">
            <w:pPr>
              <w:pStyle w:val="354"/>
              <w:overflowPunct w:val="0"/>
              <w:snapToGrid w:val="0"/>
              <w:jc w:val="center"/>
              <w:rPr>
                <w:rFonts w:hint="eastAsia" w:ascii="宋体" w:hAnsi="宋体" w:eastAsia="宋体" w:cs="宋体"/>
                <w:color w:val="000000" w:themeColor="text1"/>
                <w:sz w:val="21"/>
                <w:szCs w:val="21"/>
                <w:lang w:val="zh-CN"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《建筑设计防火规范》（GB50016-2014，2018版）第3.3.9条</w:t>
            </w:r>
          </w:p>
        </w:tc>
        <w:tc>
          <w:tcPr>
            <w:tcW w:w="2145" w:type="dxa"/>
            <w:shd w:val="clear" w:color="auto" w:fill="auto"/>
            <w:vAlign w:val="center"/>
          </w:tcPr>
          <w:p w14:paraId="674BB93C">
            <w:pPr>
              <w:pStyle w:val="354"/>
              <w:overflowPunct w:val="0"/>
              <w:snapToGrid w:val="0"/>
              <w:jc w:val="both"/>
              <w:rPr>
                <w:rFonts w:hint="eastAsia" w:ascii="宋体" w:hAnsi="宋体" w:eastAsia="宋体" w:cs="宋体"/>
                <w:bCs/>
                <w:color w:val="000000" w:themeColor="text1"/>
                <w:sz w:val="21"/>
                <w:szCs w:val="21"/>
                <w:lang w:val="zh-CN" w:eastAsia="zh-CN" w:bidi="ar-SA"/>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仓库内未设置宿舍、办公室、休息室等。</w:t>
            </w:r>
          </w:p>
        </w:tc>
        <w:tc>
          <w:tcPr>
            <w:tcW w:w="720" w:type="dxa"/>
            <w:shd w:val="clear" w:color="auto" w:fill="auto"/>
            <w:vAlign w:val="center"/>
          </w:tcPr>
          <w:p w14:paraId="281ECB39">
            <w:pPr>
              <w:overflowPunct w:val="0"/>
              <w:adjustRightInd w:val="0"/>
              <w:snapToGrid w:val="0"/>
              <w:spacing w:line="300" w:lineRule="exact"/>
              <w:jc w:val="center"/>
              <w:rPr>
                <w:rFonts w:hint="eastAsia" w:ascii="宋体" w:hAnsi="宋体" w:eastAsia="宋体" w:cs="宋体"/>
                <w:bCs/>
                <w:color w:val="000000" w:themeColor="text1"/>
                <w:sz w:val="21"/>
                <w:szCs w:val="21"/>
                <w:lang w:val="zh-CN" w:eastAsia="zh-CN" w:bidi="ar-SA"/>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符合</w:t>
            </w:r>
          </w:p>
        </w:tc>
      </w:tr>
      <w:tr w14:paraId="3CB70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2" w:type="dxa"/>
            <w:gridSpan w:val="5"/>
            <w:vAlign w:val="center"/>
          </w:tcPr>
          <w:p w14:paraId="253BC9A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厂区道路检查</w:t>
            </w:r>
          </w:p>
        </w:tc>
      </w:tr>
      <w:tr w14:paraId="08A0C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C66F801">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520" w:type="dxa"/>
          </w:tcPr>
          <w:p w14:paraId="1FD78864">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满足生产要求，物流顺畅，线路短捷，人流、物流组织合理。</w:t>
            </w:r>
          </w:p>
        </w:tc>
        <w:tc>
          <w:tcPr>
            <w:tcW w:w="2400" w:type="dxa"/>
            <w:vAlign w:val="center"/>
          </w:tcPr>
          <w:p w14:paraId="52114CD8">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《工业企业总平面设计规范》</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lang w:val="zh-CN"/>
                <w14:textFill>
                  <w14:solidFill>
                    <w14:schemeClr w14:val="tx1"/>
                  </w14:solidFill>
                </w14:textFill>
              </w:rPr>
              <w:t>GB50187-2012）第</w:t>
            </w:r>
            <w:r>
              <w:rPr>
                <w:rFonts w:hint="eastAsia" w:ascii="宋体" w:hAnsi="宋体" w:eastAsia="宋体" w:cs="宋体"/>
                <w:color w:val="000000" w:themeColor="text1"/>
                <w:sz w:val="21"/>
                <w:szCs w:val="21"/>
                <w14:textFill>
                  <w14:solidFill>
                    <w14:schemeClr w14:val="tx1"/>
                  </w14:solidFill>
                </w14:textFill>
              </w:rPr>
              <w:t>5.1.1</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4E971F9D">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物流顺畅，线路短捷。</w:t>
            </w:r>
          </w:p>
        </w:tc>
        <w:tc>
          <w:tcPr>
            <w:tcW w:w="720" w:type="dxa"/>
            <w:vAlign w:val="center"/>
          </w:tcPr>
          <w:p w14:paraId="0E1C62C3">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tr w14:paraId="2E21A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4A246FC">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520" w:type="dxa"/>
          </w:tcPr>
          <w:p w14:paraId="0C017B31">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主要道路应环形布置。尽头端式道路应有足够的消防回转场地。</w:t>
            </w:r>
          </w:p>
        </w:tc>
        <w:tc>
          <w:tcPr>
            <w:tcW w:w="2400" w:type="dxa"/>
            <w:vAlign w:val="center"/>
          </w:tcPr>
          <w:p w14:paraId="5FEA097E">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《工业企业总平面设计规范》</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lang w:val="zh-CN"/>
                <w14:textFill>
                  <w14:solidFill>
                    <w14:schemeClr w14:val="tx1"/>
                  </w14:solidFill>
                </w14:textFill>
              </w:rPr>
              <w:t>GB50187-2012）第</w:t>
            </w:r>
            <w:r>
              <w:rPr>
                <w:rFonts w:hint="eastAsia" w:ascii="宋体" w:hAnsi="宋体" w:eastAsia="宋体" w:cs="宋体"/>
                <w:color w:val="000000" w:themeColor="text1"/>
                <w:sz w:val="21"/>
                <w:szCs w:val="21"/>
                <w14:textFill>
                  <w14:solidFill>
                    <w14:schemeClr w14:val="tx1"/>
                  </w14:solidFill>
                </w14:textFill>
              </w:rPr>
              <w:t>5.3.3</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1DA331AD">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厂区道路布置</w:t>
            </w:r>
            <w:r>
              <w:rPr>
                <w:rFonts w:hint="eastAsia" w:ascii="宋体" w:hAnsi="宋体" w:eastAsia="宋体" w:cs="宋体"/>
                <w:color w:val="000000" w:themeColor="text1"/>
                <w:sz w:val="21"/>
                <w:szCs w:val="21"/>
                <w:lang w:eastAsia="zh-CN"/>
                <w14:textFill>
                  <w14:solidFill>
                    <w14:schemeClr w14:val="tx1"/>
                  </w14:solidFill>
                </w14:textFill>
              </w:rPr>
              <w:t>合理</w:t>
            </w:r>
          </w:p>
        </w:tc>
        <w:tc>
          <w:tcPr>
            <w:tcW w:w="720" w:type="dxa"/>
            <w:vAlign w:val="center"/>
          </w:tcPr>
          <w:p w14:paraId="4215AD12">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8B6C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B52428B">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520" w:type="dxa"/>
            <w:vAlign w:val="center"/>
          </w:tcPr>
          <w:p w14:paraId="2837919F">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路面平整、路基稳固、边坡整齐、排水良好。</w:t>
            </w:r>
          </w:p>
        </w:tc>
        <w:tc>
          <w:tcPr>
            <w:tcW w:w="2400" w:type="dxa"/>
            <w:vAlign w:val="center"/>
          </w:tcPr>
          <w:p w14:paraId="159578F4">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《工业企业厂内铁路、道路运输安全规程》（GB4387-2008）第</w:t>
            </w:r>
            <w:r>
              <w:rPr>
                <w:rFonts w:hint="eastAsia" w:ascii="宋体" w:hAnsi="宋体" w:eastAsia="宋体" w:cs="宋体"/>
                <w:color w:val="000000" w:themeColor="text1"/>
                <w:sz w:val="21"/>
                <w:szCs w:val="21"/>
                <w14:textFill>
                  <w14:solidFill>
                    <w14:schemeClr w14:val="tx1"/>
                  </w14:solidFill>
                </w14:textFill>
              </w:rPr>
              <w:t>5.1.1</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220BA753">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主要道路已硬化，</w:t>
            </w:r>
            <w:r>
              <w:rPr>
                <w:rFonts w:hint="eastAsia" w:ascii="宋体" w:hAnsi="宋体" w:eastAsia="宋体" w:cs="宋体"/>
                <w:color w:val="000000" w:themeColor="text1"/>
                <w:sz w:val="21"/>
                <w:szCs w:val="21"/>
                <w:lang w:val="en-US" w:eastAsia="zh-CN"/>
                <w14:textFill>
                  <w14:solidFill>
                    <w14:schemeClr w14:val="tx1"/>
                  </w14:solidFill>
                </w14:textFill>
              </w:rPr>
              <w:t>为水泥道路，排水畅通</w:t>
            </w:r>
          </w:p>
        </w:tc>
        <w:tc>
          <w:tcPr>
            <w:tcW w:w="720" w:type="dxa"/>
            <w:vAlign w:val="center"/>
          </w:tcPr>
          <w:p w14:paraId="2737B88E">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bookmarkEnd w:id="678"/>
      <w:bookmarkEnd w:id="679"/>
      <w:bookmarkEnd w:id="680"/>
      <w:bookmarkEnd w:id="681"/>
      <w:bookmarkEnd w:id="682"/>
    </w:tbl>
    <w:p w14:paraId="07F29BE2">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683" w:name="_Toc202575711"/>
      <w:bookmarkStart w:id="684" w:name="_Toc309682499"/>
      <w:bookmarkStart w:id="685" w:name="_Toc26445"/>
      <w:bookmarkStart w:id="686" w:name="_Toc278151423"/>
      <w:bookmarkStart w:id="687" w:name="_Toc327017836"/>
      <w:bookmarkStart w:id="688" w:name="_Toc19514"/>
      <w:bookmarkStart w:id="689" w:name="_Toc5142"/>
      <w:bookmarkStart w:id="690" w:name="_Toc201767301"/>
      <w:bookmarkStart w:id="691" w:name="_Toc335926269"/>
      <w:bookmarkStart w:id="692" w:name="_Toc5096"/>
      <w:r>
        <w:rPr>
          <w:rFonts w:hint="default" w:ascii="Times New Roman" w:hAnsi="Times New Roman" w:eastAsia="黑体" w:cs="Times New Roman"/>
          <w:color w:val="000000" w:themeColor="text1"/>
          <w:lang w:val="en-US" w:eastAsia="zh-CN"/>
          <w14:textFill>
            <w14:solidFill>
              <w14:schemeClr w14:val="tx1"/>
            </w14:solidFill>
          </w14:textFill>
        </w:rPr>
        <w:t>5.1.2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lang w:val="en-US" w:eastAsia="zh-CN"/>
          <w14:textFill>
            <w14:solidFill>
              <w14:schemeClr w14:val="tx1"/>
            </w14:solidFill>
          </w14:textFill>
        </w:rPr>
        <w:t>评价小结</w:t>
      </w:r>
      <w:bookmarkEnd w:id="683"/>
      <w:bookmarkEnd w:id="684"/>
      <w:bookmarkEnd w:id="685"/>
      <w:bookmarkEnd w:id="686"/>
      <w:bookmarkEnd w:id="687"/>
      <w:bookmarkEnd w:id="688"/>
      <w:bookmarkEnd w:id="689"/>
      <w:bookmarkEnd w:id="690"/>
      <w:bookmarkEnd w:id="691"/>
      <w:bookmarkEnd w:id="692"/>
    </w:p>
    <w:p w14:paraId="7C26AA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本章采用安全检查表法，对本项目的厂址、总平面布置、</w:t>
      </w:r>
      <w:r>
        <w:rPr>
          <w:rFonts w:hint="eastAsia" w:ascii="宋体" w:hAnsi="宋体" w:eastAsia="宋体" w:cs="宋体"/>
          <w:color w:val="000000" w:themeColor="text1"/>
          <w:sz w:val="28"/>
          <w:szCs w:val="28"/>
          <w:lang w:val="en-US" w:eastAsia="zh-CN"/>
          <w14:textFill>
            <w14:solidFill>
              <w14:schemeClr w14:val="tx1"/>
            </w14:solidFill>
          </w14:textFill>
        </w:rPr>
        <w:t>厂区道路</w:t>
      </w:r>
      <w:r>
        <w:rPr>
          <w:rFonts w:hint="eastAsia" w:ascii="宋体" w:hAnsi="宋体" w:eastAsia="宋体" w:cs="宋体"/>
          <w:color w:val="000000" w:themeColor="text1"/>
          <w:sz w:val="28"/>
          <w:szCs w:val="28"/>
          <w14:textFill>
            <w14:solidFill>
              <w14:schemeClr w14:val="tx1"/>
            </w14:solidFill>
          </w14:textFill>
        </w:rPr>
        <w:t>进行了检查，总平面布置各功能区</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分布合理，布局连续紧凑，分区明确，生产环境良好，便于管理，能够满足目前安全生产的要求。</w:t>
      </w:r>
    </w:p>
    <w:p w14:paraId="3604FEE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项目平面布置</w:t>
      </w:r>
      <w:r>
        <w:rPr>
          <w:rFonts w:hint="eastAsia" w:ascii="宋体" w:hAnsi="宋体" w:eastAsia="宋体" w:cs="宋体"/>
          <w:color w:val="000000" w:themeColor="text1"/>
          <w:sz w:val="28"/>
          <w:szCs w:val="28"/>
          <w:lang w:val="en-US" w:eastAsia="zh-CN"/>
          <w14:textFill>
            <w14:solidFill>
              <w14:schemeClr w14:val="tx1"/>
            </w14:solidFill>
          </w14:textFill>
        </w:rPr>
        <w:t>符合</w:t>
      </w:r>
      <w:r>
        <w:rPr>
          <w:rFonts w:hint="eastAsia" w:ascii="宋体" w:hAnsi="宋体" w:eastAsia="宋体" w:cs="宋体"/>
          <w:color w:val="000000" w:themeColor="text1"/>
          <w:sz w:val="28"/>
          <w:szCs w:val="28"/>
          <w14:textFill>
            <w14:solidFill>
              <w14:schemeClr w14:val="tx1"/>
            </w14:solidFill>
          </w14:textFill>
        </w:rPr>
        <w:t>《工业企业总平面设计规范》（</w:t>
      </w:r>
      <w:r>
        <w:rPr>
          <w:rFonts w:hint="eastAsia" w:ascii="宋体" w:hAnsi="宋体" w:eastAsia="宋体" w:cs="宋体"/>
          <w:color w:val="000000" w:themeColor="text1"/>
          <w:sz w:val="28"/>
          <w:szCs w:val="28"/>
          <w:lang w:val="zh-CN"/>
          <w14:textFill>
            <w14:solidFill>
              <w14:schemeClr w14:val="tx1"/>
            </w14:solidFill>
          </w14:textFill>
        </w:rPr>
        <w:t>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50187-2012）、《工业企业厂内铁路、道路运输安全规程》（GB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4387-2008）</w:t>
      </w:r>
      <w:r>
        <w:rPr>
          <w:rFonts w:hint="eastAsia" w:ascii="宋体" w:hAnsi="宋体" w:eastAsia="宋体" w:cs="宋体"/>
          <w:color w:val="000000" w:themeColor="text1"/>
          <w:sz w:val="28"/>
          <w:szCs w:val="28"/>
          <w14:textFill>
            <w14:solidFill>
              <w14:schemeClr w14:val="tx1"/>
            </w14:solidFill>
          </w14:textFill>
        </w:rPr>
        <w:t>和《建筑设计防火规范〔2018版〕》（GB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50016-2014）中的</w:t>
      </w:r>
      <w:r>
        <w:rPr>
          <w:rFonts w:hint="eastAsia" w:ascii="宋体" w:hAnsi="宋体" w:eastAsia="宋体" w:cs="宋体"/>
          <w:color w:val="000000" w:themeColor="text1"/>
          <w:sz w:val="28"/>
          <w:szCs w:val="28"/>
          <w:lang w:val="en-US" w:eastAsia="zh-CN"/>
          <w14:textFill>
            <w14:solidFill>
              <w14:schemeClr w14:val="tx1"/>
            </w14:solidFill>
          </w14:textFill>
        </w:rPr>
        <w:t>规范要求</w:t>
      </w:r>
      <w:r>
        <w:rPr>
          <w:rFonts w:hint="eastAsia" w:ascii="宋体" w:hAnsi="宋体" w:eastAsia="宋体" w:cs="宋体"/>
          <w:color w:val="000000" w:themeColor="text1"/>
          <w:sz w:val="28"/>
          <w:szCs w:val="28"/>
          <w14:textFill>
            <w14:solidFill>
              <w14:schemeClr w14:val="tx1"/>
            </w14:solidFill>
          </w14:textFill>
        </w:rPr>
        <w:t>。</w:t>
      </w:r>
    </w:p>
    <w:p w14:paraId="2A587B97">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693" w:name="_Toc32345"/>
      <w:bookmarkStart w:id="694" w:name="_Toc1554"/>
      <w:bookmarkStart w:id="695" w:name="_Toc18641"/>
      <w:bookmarkStart w:id="696" w:name="_Toc19848"/>
      <w:bookmarkStart w:id="697" w:name="_Toc313545238"/>
      <w:bookmarkStart w:id="698" w:name="_Toc8408"/>
      <w:bookmarkStart w:id="699" w:name="_Toc335926278"/>
      <w:bookmarkStart w:id="700" w:name="_Toc145775716"/>
      <w:bookmarkStart w:id="701" w:name="_Toc313453594"/>
      <w:r>
        <w:rPr>
          <w:rFonts w:hint="default" w:ascii="Times New Roman" w:hAnsi="Times New Roman" w:eastAsia="楷体" w:cs="Times New Roman"/>
          <w:color w:val="000000" w:themeColor="text1"/>
          <w14:textFill>
            <w14:solidFill>
              <w14:schemeClr w14:val="tx1"/>
            </w14:solidFill>
          </w14:textFill>
        </w:rPr>
        <w:t>5.2</w:t>
      </w:r>
      <w:r>
        <w:rPr>
          <w:rFonts w:hint="eastAsia" w:ascii="Times New Roman" w:hAnsi="Times New Roman" w:cs="Times New Roman"/>
          <w:color w:val="000000" w:themeColor="text1"/>
          <w:lang w:val="en-US" w:eastAsia="zh-CN"/>
          <w14:textFill>
            <w14:solidFill>
              <w14:schemeClr w14:val="tx1"/>
            </w14:solidFill>
          </w14:textFill>
        </w:rPr>
        <w:t xml:space="preserve"> 生产</w:t>
      </w:r>
      <w:r>
        <w:rPr>
          <w:rFonts w:hint="default" w:ascii="Times New Roman" w:hAnsi="Times New Roman" w:eastAsia="楷体" w:cs="Times New Roman"/>
          <w:color w:val="000000" w:themeColor="text1"/>
          <w14:textFill>
            <w14:solidFill>
              <w14:schemeClr w14:val="tx1"/>
            </w14:solidFill>
          </w14:textFill>
        </w:rPr>
        <w:t>工艺</w:t>
      </w:r>
      <w:r>
        <w:rPr>
          <w:rFonts w:hint="eastAsia" w:ascii="Times New Roman" w:hAnsi="Times New Roman" w:cs="Times New Roman"/>
          <w:color w:val="000000" w:themeColor="text1"/>
          <w:lang w:val="en-US" w:eastAsia="zh-CN"/>
          <w14:textFill>
            <w14:solidFill>
              <w14:schemeClr w14:val="tx1"/>
            </w14:solidFill>
          </w14:textFill>
        </w:rPr>
        <w:t>及设备设施</w:t>
      </w:r>
      <w:r>
        <w:rPr>
          <w:rFonts w:hint="default" w:ascii="Times New Roman" w:hAnsi="Times New Roman" w:eastAsia="楷体" w:cs="Times New Roman"/>
          <w:color w:val="000000" w:themeColor="text1"/>
          <w14:textFill>
            <w14:solidFill>
              <w14:schemeClr w14:val="tx1"/>
            </w14:solidFill>
          </w14:textFill>
        </w:rPr>
        <w:t>评价单元</w:t>
      </w:r>
      <w:bookmarkEnd w:id="693"/>
      <w:bookmarkEnd w:id="694"/>
      <w:bookmarkEnd w:id="695"/>
      <w:bookmarkEnd w:id="696"/>
    </w:p>
    <w:p w14:paraId="14A221E3">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702" w:name="_Toc30203"/>
      <w:bookmarkStart w:id="703" w:name="_Toc4143"/>
      <w:bookmarkStart w:id="704" w:name="_Toc23262"/>
      <w:r>
        <w:rPr>
          <w:rFonts w:hint="default" w:ascii="Times New Roman" w:hAnsi="Times New Roman" w:eastAsia="黑体" w:cs="Times New Roman"/>
          <w:color w:val="000000" w:themeColor="text1"/>
          <w:lang w:val="en-US" w:eastAsia="zh-CN"/>
          <w14:textFill>
            <w14:solidFill>
              <w14:schemeClr w14:val="tx1"/>
            </w14:solidFill>
          </w14:textFill>
        </w:rPr>
        <w:t>5.2.1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lang w:val="en-US" w:eastAsia="zh-CN"/>
          <w14:textFill>
            <w14:solidFill>
              <w14:schemeClr w14:val="tx1"/>
            </w14:solidFill>
          </w14:textFill>
        </w:rPr>
        <w:t>安全检查</w:t>
      </w:r>
      <w:bookmarkEnd w:id="697"/>
      <w:r>
        <w:rPr>
          <w:rFonts w:hint="default" w:ascii="Times New Roman" w:hAnsi="Times New Roman" w:eastAsia="黑体" w:cs="Times New Roman"/>
          <w:color w:val="000000" w:themeColor="text1"/>
          <w:lang w:val="en-US" w:eastAsia="zh-CN"/>
          <w14:textFill>
            <w14:solidFill>
              <w14:schemeClr w14:val="tx1"/>
            </w14:solidFill>
          </w14:textFill>
        </w:rPr>
        <w:t>表</w:t>
      </w:r>
      <w:bookmarkEnd w:id="698"/>
      <w:bookmarkEnd w:id="699"/>
      <w:bookmarkEnd w:id="702"/>
      <w:bookmarkEnd w:id="703"/>
      <w:bookmarkEnd w:id="704"/>
      <w:bookmarkStart w:id="705" w:name="_Toc335926279"/>
      <w:bookmarkStart w:id="706" w:name="_Toc21611"/>
    </w:p>
    <w:p w14:paraId="032001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按照《生产设备安全卫生设计总则》（GB5083-</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）、《生产过程安全卫生要求总则》（GB/T 12801-2008）、《烧结砖瓦工厂设计规范》（GB 50701-2011）、《中华人民共和国安全生产法》（中华人民共和国主席令第88号，2021年修订）、</w:t>
      </w:r>
      <w:r>
        <w:rPr>
          <w:rFonts w:hint="eastAsia" w:ascii="宋体" w:hAnsi="宋体" w:eastAsia="宋体" w:cs="宋体"/>
          <w:color w:val="000000" w:themeColor="text1"/>
          <w:kern w:val="0"/>
          <w:sz w:val="28"/>
          <w:szCs w:val="28"/>
          <w14:textFill>
            <w14:solidFill>
              <w14:schemeClr w14:val="tx1"/>
            </w14:solidFill>
          </w14:textFill>
        </w:rPr>
        <w:t>《压力容器定期检验规则》（TSG R7001-2013）</w:t>
      </w:r>
      <w:r>
        <w:rPr>
          <w:rFonts w:hint="eastAsia" w:ascii="宋体" w:hAnsi="宋体" w:eastAsia="宋体" w:cs="宋体"/>
          <w:color w:val="000000" w:themeColor="text1"/>
          <w:sz w:val="28"/>
          <w:szCs w:val="28"/>
          <w14:textFill>
            <w14:solidFill>
              <w14:schemeClr w14:val="tx1"/>
            </w14:solidFill>
          </w14:textFill>
        </w:rPr>
        <w:t>等标准规范的规定，对该项目的生产工艺设备设施采用安全检查表法进行分析评价。检查结果见表5-</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w:t>
      </w:r>
    </w:p>
    <w:p w14:paraId="14BD37FE">
      <w:pPr>
        <w:adjustRightInd w:val="0"/>
        <w:snapToGrid w:val="0"/>
        <w:spacing w:line="240" w:lineRule="auto"/>
        <w:jc w:val="center"/>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表5-</w:t>
      </w:r>
      <w:r>
        <w:rPr>
          <w:rFonts w:hint="eastAsia" w:hAnsi="宋体" w:cs="宋体"/>
          <w:b/>
          <w:bCs/>
          <w:color w:val="000000" w:themeColor="text1"/>
          <w:sz w:val="24"/>
          <w:lang w:val="en-US" w:eastAsia="zh-CN"/>
          <w14:textFill>
            <w14:solidFill>
              <w14:schemeClr w14:val="tx1"/>
            </w14:solidFill>
          </w14:textFill>
        </w:rPr>
        <w:t>2</w:t>
      </w:r>
      <w:r>
        <w:rPr>
          <w:rFonts w:hint="eastAsia" w:ascii="宋体" w:hAnsi="宋体" w:eastAsia="宋体" w:cs="宋体"/>
          <w:b/>
          <w:bCs/>
          <w:color w:val="000000" w:themeColor="text1"/>
          <w:sz w:val="24"/>
          <w14:textFill>
            <w14:solidFill>
              <w14:schemeClr w14:val="tx1"/>
            </w14:solidFill>
          </w14:textFill>
        </w:rPr>
        <w:t xml:space="preserve">  生产工艺及设备设施安全检查表</w:t>
      </w:r>
    </w:p>
    <w:tbl>
      <w:tblPr>
        <w:tblStyle w:val="51"/>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3235"/>
        <w:gridCol w:w="2140"/>
        <w:gridCol w:w="2070"/>
        <w:gridCol w:w="845"/>
      </w:tblGrid>
      <w:tr w14:paraId="4B617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57" w:type="dxa"/>
            <w:vAlign w:val="center"/>
          </w:tcPr>
          <w:p w14:paraId="48A8DCC8">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235" w:type="dxa"/>
            <w:vAlign w:val="center"/>
          </w:tcPr>
          <w:p w14:paraId="0B389B03">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40" w:type="dxa"/>
            <w:vAlign w:val="center"/>
          </w:tcPr>
          <w:p w14:paraId="0C0063E0">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2070" w:type="dxa"/>
            <w:vAlign w:val="center"/>
          </w:tcPr>
          <w:p w14:paraId="24C054AE">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845" w:type="dxa"/>
            <w:vAlign w:val="center"/>
          </w:tcPr>
          <w:p w14:paraId="4A14C9DE">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0952C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7765E4CF">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5E4E6649">
            <w:pPr>
              <w:autoSpaceDE w:val="0"/>
              <w:autoSpaceDN w:val="0"/>
              <w:adjustRightInd w:val="0"/>
              <w:snapToGrid w:val="0"/>
              <w:spacing w:line="300" w:lineRule="exact"/>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生产经营单位不得使用应当淘汰的危及生产安全的工艺、设备。</w:t>
            </w:r>
          </w:p>
        </w:tc>
        <w:tc>
          <w:tcPr>
            <w:tcW w:w="2140" w:type="dxa"/>
            <w:vAlign w:val="center"/>
          </w:tcPr>
          <w:p w14:paraId="0EAA332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《中华人民共和国安全生产法》（中华人民共和国主席令第88号，2021年修订）</w:t>
            </w:r>
          </w:p>
          <w:p w14:paraId="32FF2D84">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第三十八条</w:t>
            </w:r>
          </w:p>
        </w:tc>
        <w:tc>
          <w:tcPr>
            <w:tcW w:w="2070" w:type="dxa"/>
            <w:vAlign w:val="center"/>
          </w:tcPr>
          <w:p w14:paraId="2E9F94F3">
            <w:pPr>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没有使用国家明令淘汰、禁止使用的危及生产安全的工艺、设备</w:t>
            </w:r>
            <w:r>
              <w:rPr>
                <w:rFonts w:hint="eastAsia" w:ascii="宋体" w:hAnsi="宋体" w:eastAsia="宋体" w:cs="宋体"/>
                <w:snapToGrid w:val="0"/>
                <w:color w:val="000000" w:themeColor="text1"/>
                <w:kern w:val="0"/>
                <w:sz w:val="21"/>
                <w:szCs w:val="21"/>
                <w14:textFill>
                  <w14:solidFill>
                    <w14:schemeClr w14:val="tx1"/>
                  </w14:solidFill>
                </w14:textFill>
              </w:rPr>
              <w:t>。</w:t>
            </w:r>
          </w:p>
        </w:tc>
        <w:tc>
          <w:tcPr>
            <w:tcW w:w="845" w:type="dxa"/>
            <w:vAlign w:val="center"/>
          </w:tcPr>
          <w:p w14:paraId="2806BE13">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A540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1107A0C2">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20D3FE3C">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对工艺、作业和施工过程的控制、检测系统的要求：</w:t>
            </w:r>
          </w:p>
          <w:p w14:paraId="10A68E9B">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a）对事故后果严重的生产过程，应按冗余原则，设计备用装置或备用系统，并能保证在出现危险时能自动转换到备用装置或备用系统；</w:t>
            </w:r>
          </w:p>
          <w:p w14:paraId="0590DA2F">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b）各种仪器、仪表、监测记录装置等，必须选用合理，灵敏可靠，易于辨识。</w:t>
            </w:r>
          </w:p>
        </w:tc>
        <w:tc>
          <w:tcPr>
            <w:tcW w:w="2140" w:type="dxa"/>
            <w:vAlign w:val="center"/>
          </w:tcPr>
          <w:p w14:paraId="2DBA1FF1">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 T12801-2008）第5.3.2条</w:t>
            </w:r>
          </w:p>
        </w:tc>
        <w:tc>
          <w:tcPr>
            <w:tcW w:w="2070" w:type="dxa"/>
            <w:vAlign w:val="center"/>
          </w:tcPr>
          <w:p w14:paraId="735D7094">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工艺、作业满足以上要求。</w:t>
            </w:r>
          </w:p>
        </w:tc>
        <w:tc>
          <w:tcPr>
            <w:tcW w:w="845" w:type="dxa"/>
            <w:vAlign w:val="center"/>
          </w:tcPr>
          <w:p w14:paraId="69233C74">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A68B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729D1F11">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4ECD437A">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配置设备、设施、管线、电缆和组织作业区的基本要求</w:t>
            </w:r>
          </w:p>
          <w:p w14:paraId="7F31A457">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a）在生产厂房和作业场地上配置的生产设备、设施、管线、电缆以及堆放的生产物料、产品和剩余物料，不应对人员、生产和运输造成危险和有害影响；</w:t>
            </w:r>
          </w:p>
          <w:p w14:paraId="20EE3B8A">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b）各设备之间，管线之间，以及设备、管线与厂房、建（构）筑物的墙壁之间的距离，均应符合有关设计和建筑规范要求；</w:t>
            </w:r>
          </w:p>
          <w:p w14:paraId="2EF31680">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c）在设备、设施、管线上需要人员操作、监察和维修，并有发生高处坠落危险的部位，应配置扶梯、平台、围栏和系挂装置等附属设施。</w:t>
            </w:r>
          </w:p>
        </w:tc>
        <w:tc>
          <w:tcPr>
            <w:tcW w:w="2140" w:type="dxa"/>
            <w:vAlign w:val="center"/>
          </w:tcPr>
          <w:p w14:paraId="22532EC3">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（GB/T 12801-2008）第5.7.1条</w:t>
            </w:r>
          </w:p>
        </w:tc>
        <w:tc>
          <w:tcPr>
            <w:tcW w:w="2070" w:type="dxa"/>
            <w:vAlign w:val="center"/>
          </w:tcPr>
          <w:p w14:paraId="1CEE9DE9">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配置设备、设施、管线、电缆和组织作业区满足要求。</w:t>
            </w:r>
          </w:p>
        </w:tc>
        <w:tc>
          <w:tcPr>
            <w:tcW w:w="845" w:type="dxa"/>
            <w:vAlign w:val="center"/>
          </w:tcPr>
          <w:p w14:paraId="360AA743">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49C3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4B0694CA">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55E84AAA">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设备布置的原则：</w:t>
            </w:r>
          </w:p>
          <w:p w14:paraId="3DFF4403">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a）便于操作和维护；</w:t>
            </w:r>
          </w:p>
          <w:p w14:paraId="57D02854">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b）发生火灾或出现紧急情况时，便于人员撤离；</w:t>
            </w:r>
          </w:p>
          <w:p w14:paraId="13015AA5">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c）尽量避免生产装置之间危害因素的相互影响，减小对人员的综合作用；</w:t>
            </w:r>
          </w:p>
          <w:p w14:paraId="672EA6E0">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d）布置具有潜在危险的设备时，应根据有关规定进行分散和隔离，并设置必要的提示、标志和警告信号；</w:t>
            </w:r>
          </w:p>
          <w:p w14:paraId="20E152E7">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e）对振动、爆炸敏感的设备，应进行隔离或设置屏蔽、防护墙、减振设施等；</w:t>
            </w:r>
          </w:p>
          <w:p w14:paraId="2E8B8C94">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f） 设备的噪声超过有关标准规定时，应予以隔离；</w:t>
            </w:r>
          </w:p>
          <w:p w14:paraId="47A080C4">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g）加热设备及反应釜等的作业孔、操纵器、观察孔等应有防护设施；作业区的热辐射强度不应超过有关规定。</w:t>
            </w:r>
          </w:p>
        </w:tc>
        <w:tc>
          <w:tcPr>
            <w:tcW w:w="2140" w:type="dxa"/>
            <w:vAlign w:val="center"/>
          </w:tcPr>
          <w:p w14:paraId="11A70F4A">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（GB/T 12801-2008）第5.7.2条</w:t>
            </w:r>
          </w:p>
        </w:tc>
        <w:tc>
          <w:tcPr>
            <w:tcW w:w="2070" w:type="dxa"/>
            <w:vAlign w:val="center"/>
          </w:tcPr>
          <w:p w14:paraId="02C333DF">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该项目均选用低噪声设备，周围没有对振动要求高</w:t>
            </w:r>
            <w:r>
              <w:rPr>
                <w:rFonts w:hint="eastAsia" w:ascii="宋体" w:hAnsi="宋体" w:eastAsia="宋体" w:cs="宋体"/>
                <w:color w:val="000000" w:themeColor="text1"/>
                <w:sz w:val="21"/>
                <w:szCs w:val="21"/>
                <w:lang w:val="en-US" w:eastAsia="zh-CN"/>
                <w14:textFill>
                  <w14:solidFill>
                    <w14:schemeClr w14:val="tx1"/>
                  </w14:solidFill>
                </w14:textFill>
              </w:rPr>
              <w:t>的</w:t>
            </w:r>
            <w:r>
              <w:rPr>
                <w:rFonts w:hint="eastAsia" w:ascii="宋体" w:hAnsi="宋体" w:eastAsia="宋体" w:cs="宋体"/>
                <w:color w:val="000000" w:themeColor="text1"/>
                <w:sz w:val="21"/>
                <w:szCs w:val="21"/>
                <w14:textFill>
                  <w14:solidFill>
                    <w14:schemeClr w14:val="tx1"/>
                  </w14:solidFill>
                </w14:textFill>
              </w:rPr>
              <w:t>设备，均按相关要求规定进行布置，有足够的操作空间；设置了2个紧急出入口，发生事故便于人员撤离。</w:t>
            </w:r>
          </w:p>
        </w:tc>
        <w:tc>
          <w:tcPr>
            <w:tcW w:w="845" w:type="dxa"/>
            <w:vAlign w:val="center"/>
          </w:tcPr>
          <w:p w14:paraId="49DD316E">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AE5F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5642C1DC">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0B0B479E">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企业应按照GB11651和国家颁发的劳动防护用品配备标准和有关规定，为从业人员配备劳动防护用品。</w:t>
            </w:r>
          </w:p>
        </w:tc>
        <w:tc>
          <w:tcPr>
            <w:tcW w:w="2140" w:type="dxa"/>
            <w:vAlign w:val="center"/>
          </w:tcPr>
          <w:p w14:paraId="03415D8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（GB/T 12801-2008）第6.2.1条</w:t>
            </w:r>
          </w:p>
        </w:tc>
        <w:tc>
          <w:tcPr>
            <w:tcW w:w="2070" w:type="dxa"/>
            <w:vAlign w:val="center"/>
          </w:tcPr>
          <w:p w14:paraId="07BCB401">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企业向从业人员定期发放劳动防护用品。</w:t>
            </w:r>
          </w:p>
        </w:tc>
        <w:tc>
          <w:tcPr>
            <w:tcW w:w="845" w:type="dxa"/>
            <w:vAlign w:val="center"/>
          </w:tcPr>
          <w:p w14:paraId="7FF8541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4ECF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564C1DF5">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7310FB0F">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具有火灾危险的工作过程，应综合考虑防火防爆措施和报警系统，合理选择和配置消防设施。</w:t>
            </w:r>
          </w:p>
        </w:tc>
        <w:tc>
          <w:tcPr>
            <w:tcW w:w="2140" w:type="dxa"/>
            <w:vAlign w:val="center"/>
          </w:tcPr>
          <w:p w14:paraId="47B7802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《生产过程安全卫生要求总则》（GB12801-2008）</w:t>
            </w:r>
          </w:p>
          <w:p w14:paraId="4BED833C">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第6.3.1条</w:t>
            </w:r>
          </w:p>
        </w:tc>
        <w:tc>
          <w:tcPr>
            <w:tcW w:w="2070" w:type="dxa"/>
            <w:vAlign w:val="center"/>
          </w:tcPr>
          <w:p w14:paraId="5A0C5CC6">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w:t>
            </w:r>
            <w:r>
              <w:rPr>
                <w:rFonts w:hint="eastAsia" w:ascii="宋体" w:hAnsi="宋体" w:eastAsia="宋体" w:cs="宋体"/>
                <w:color w:val="000000" w:themeColor="text1"/>
                <w:sz w:val="21"/>
                <w:szCs w:val="21"/>
                <w:lang w:val="en-US" w:eastAsia="zh-CN"/>
                <w14:textFill>
                  <w14:solidFill>
                    <w14:schemeClr w14:val="tx1"/>
                  </w14:solidFill>
                </w14:textFill>
              </w:rPr>
              <w:t>生产区</w:t>
            </w:r>
            <w:r>
              <w:rPr>
                <w:rFonts w:hint="eastAsia" w:ascii="宋体" w:hAnsi="宋体" w:eastAsia="宋体" w:cs="宋体"/>
                <w:color w:val="000000" w:themeColor="text1"/>
                <w:sz w:val="21"/>
                <w:szCs w:val="21"/>
                <w14:textFill>
                  <w14:solidFill>
                    <w14:schemeClr w14:val="tx1"/>
                  </w14:solidFill>
                </w14:textFill>
              </w:rPr>
              <w:t>、办公室等区域配备了灭火器。</w:t>
            </w:r>
          </w:p>
        </w:tc>
        <w:tc>
          <w:tcPr>
            <w:tcW w:w="845" w:type="dxa"/>
            <w:vAlign w:val="center"/>
          </w:tcPr>
          <w:p w14:paraId="19351F7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E3C8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0372890E">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6277D940">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生产设备(包括零部件)应有符合产品安全性能的力学特性、稳定性和可靠性。在按规定条件制</w:t>
            </w:r>
          </w:p>
          <w:p w14:paraId="78D96BE4">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造、运输、储存、安装、使用和拆除时，不应对人员造成危害。</w:t>
            </w:r>
          </w:p>
        </w:tc>
        <w:tc>
          <w:tcPr>
            <w:tcW w:w="2140" w:type="dxa"/>
            <w:vAlign w:val="center"/>
          </w:tcPr>
          <w:p w14:paraId="10C51E89">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《生产设备安全卫生设计总则》（GB5083-2023）第4.2条</w:t>
            </w:r>
          </w:p>
        </w:tc>
        <w:tc>
          <w:tcPr>
            <w:tcW w:w="2070" w:type="dxa"/>
            <w:vAlign w:val="center"/>
          </w:tcPr>
          <w:p w14:paraId="28CDC02F">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该项目生产设备均通过具有生产资质的厂家采购，设备有产品合格证，各设备危险点均采取了相应防护措施。</w:t>
            </w:r>
          </w:p>
        </w:tc>
        <w:tc>
          <w:tcPr>
            <w:tcW w:w="845" w:type="dxa"/>
            <w:vAlign w:val="center"/>
          </w:tcPr>
          <w:p w14:paraId="3E305F6C">
            <w:pPr>
              <w:snapToGrid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1C99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02384FE3">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1B63D95">
            <w:pPr>
              <w:adjustRightInd w:val="0"/>
              <w:snapToGrid w:val="0"/>
              <w:spacing w:line="300" w:lineRule="exac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生产设备不应在振动、风载荷或其他外载荷作用下倾覆或产生允许范围外的运动或位移。</w:t>
            </w:r>
          </w:p>
        </w:tc>
        <w:tc>
          <w:tcPr>
            <w:tcW w:w="2140" w:type="dxa"/>
            <w:shd w:val="clear" w:color="auto" w:fill="auto"/>
            <w:vAlign w:val="center"/>
          </w:tcPr>
          <w:p w14:paraId="3C41FF07">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29318B38">
            <w:pPr>
              <w:pStyle w:val="354"/>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第5.3.1条</w:t>
            </w:r>
          </w:p>
        </w:tc>
        <w:tc>
          <w:tcPr>
            <w:tcW w:w="2070" w:type="dxa"/>
            <w:shd w:val="clear" w:color="auto" w:fill="auto"/>
            <w:vAlign w:val="center"/>
          </w:tcPr>
          <w:p w14:paraId="71A054F0">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生产设备没有在上述条件下运动。</w:t>
            </w:r>
          </w:p>
        </w:tc>
        <w:tc>
          <w:tcPr>
            <w:tcW w:w="845" w:type="dxa"/>
            <w:shd w:val="clear" w:color="auto" w:fill="auto"/>
            <w:vAlign w:val="center"/>
          </w:tcPr>
          <w:p w14:paraId="2AC63EE3">
            <w:pPr>
              <w:pStyle w:val="354"/>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3BC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7AAA4988">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25D42213">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生产设备的控制装置不应使用联锁装置代替控制开关执行常规机械功能。</w:t>
            </w:r>
          </w:p>
        </w:tc>
        <w:tc>
          <w:tcPr>
            <w:tcW w:w="2140" w:type="dxa"/>
            <w:shd w:val="clear" w:color="auto" w:fill="auto"/>
            <w:vAlign w:val="center"/>
          </w:tcPr>
          <w:p w14:paraId="6AA8F61D">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4459E31E">
            <w:pPr>
              <w:pStyle w:val="354"/>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第5.6.2.9条</w:t>
            </w:r>
          </w:p>
        </w:tc>
        <w:tc>
          <w:tcPr>
            <w:tcW w:w="2070" w:type="dxa"/>
            <w:shd w:val="clear" w:color="auto" w:fill="auto"/>
            <w:vAlign w:val="center"/>
          </w:tcPr>
          <w:p w14:paraId="534AD537">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生产设备的控制开关为手动开关。</w:t>
            </w:r>
          </w:p>
        </w:tc>
        <w:tc>
          <w:tcPr>
            <w:tcW w:w="845" w:type="dxa"/>
            <w:shd w:val="clear" w:color="auto" w:fill="auto"/>
            <w:vAlign w:val="center"/>
          </w:tcPr>
          <w:p w14:paraId="7F4FCB3B">
            <w:pPr>
              <w:pStyle w:val="354"/>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3F9B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5B7D9686">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lang w:val="en-US" w:eastAsia="zh-CN" w:bidi="ar-SA"/>
                <w14:textFill>
                  <w14:solidFill>
                    <w14:schemeClr w14:val="tx1"/>
                  </w14:solidFill>
                </w14:textFill>
              </w:rPr>
            </w:pPr>
          </w:p>
        </w:tc>
        <w:tc>
          <w:tcPr>
            <w:tcW w:w="3235" w:type="dxa"/>
            <w:shd w:val="clear" w:color="auto" w:fill="auto"/>
            <w:vAlign w:val="center"/>
          </w:tcPr>
          <w:p w14:paraId="2D8696F2">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生产设备上供人员作业的操作位置应安全可靠，并应满足人机交互功能的要求。其工作空间应保证作业人员的身体各部位在作业中可正常活动。危险作业点应留有安全退避空间。</w:t>
            </w:r>
          </w:p>
        </w:tc>
        <w:tc>
          <w:tcPr>
            <w:tcW w:w="2140" w:type="dxa"/>
            <w:shd w:val="clear" w:color="auto" w:fill="auto"/>
            <w:vAlign w:val="center"/>
          </w:tcPr>
          <w:p w14:paraId="3A93B141">
            <w:pPr>
              <w:pStyle w:val="354"/>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《生产设备安全卫生设计总则》（GB5083-2023）第5.7.1条</w:t>
            </w:r>
          </w:p>
        </w:tc>
        <w:tc>
          <w:tcPr>
            <w:tcW w:w="2070" w:type="dxa"/>
            <w:shd w:val="clear" w:color="auto" w:fill="auto"/>
            <w:vAlign w:val="center"/>
          </w:tcPr>
          <w:p w14:paraId="7B9900AD">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default" w:ascii="宋体" w:hAnsi="宋体" w:eastAsia="宋体" w:cs="宋体"/>
                <w:color w:val="000000" w:themeColor="text1"/>
                <w:sz w:val="21"/>
                <w:szCs w:val="21"/>
                <w:lang w:val="en-US" w:eastAsia="zh-CN" w:bidi="ar-SA"/>
                <w14:textFill>
                  <w14:solidFill>
                    <w14:schemeClr w14:val="tx1"/>
                  </w14:solidFill>
                </w14:textFill>
              </w:rPr>
              <w:t>设备工作空间可以保证操作人员的头、臂、手、腿、足在正常作业中有充分的活动余地。</w:t>
            </w:r>
          </w:p>
        </w:tc>
        <w:tc>
          <w:tcPr>
            <w:tcW w:w="845" w:type="dxa"/>
            <w:shd w:val="clear" w:color="auto" w:fill="auto"/>
            <w:vAlign w:val="center"/>
          </w:tcPr>
          <w:p w14:paraId="5D4FD08B">
            <w:pPr>
              <w:pStyle w:val="354"/>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094C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0DEE2BFC">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1E3DFD4">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生产设备的操作点和操作区域应防止各种频闪效应和眩光现象,其照明设计应按GB50034 的规定执行。生产设备本体照明设计应符合视觉工效学原则。</w:t>
            </w:r>
          </w:p>
        </w:tc>
        <w:tc>
          <w:tcPr>
            <w:tcW w:w="2140" w:type="dxa"/>
            <w:shd w:val="clear" w:color="auto" w:fill="auto"/>
            <w:vAlign w:val="center"/>
          </w:tcPr>
          <w:p w14:paraId="2C7EE0DC">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《生产设备安全卫生设计总则》（GB5083-2023）第5.8.1条</w:t>
            </w:r>
          </w:p>
        </w:tc>
        <w:tc>
          <w:tcPr>
            <w:tcW w:w="2070" w:type="dxa"/>
            <w:shd w:val="clear" w:color="auto" w:fill="auto"/>
            <w:vAlign w:val="center"/>
          </w:tcPr>
          <w:p w14:paraId="1A45A3BD">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default" w:ascii="宋体" w:hAnsi="宋体" w:eastAsia="宋体" w:cs="宋体"/>
                <w:color w:val="000000" w:themeColor="text1"/>
                <w:sz w:val="21"/>
                <w:szCs w:val="21"/>
                <w:lang w:val="en-US" w:eastAsia="zh-CN" w:bidi="ar-SA"/>
                <w14:textFill>
                  <w14:solidFill>
                    <w14:schemeClr w14:val="tx1"/>
                  </w14:solidFill>
                </w14:textFill>
              </w:rPr>
              <w:t>生产车间安装照明设施。</w:t>
            </w:r>
          </w:p>
        </w:tc>
        <w:tc>
          <w:tcPr>
            <w:tcW w:w="845" w:type="dxa"/>
            <w:shd w:val="clear" w:color="auto" w:fill="auto"/>
            <w:vAlign w:val="center"/>
          </w:tcPr>
          <w:p w14:paraId="6615E7AC">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符合</w:t>
            </w:r>
          </w:p>
        </w:tc>
      </w:tr>
      <w:tr w14:paraId="382A1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3674AB0A">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540336B">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凡生产过程(包括三废处理)中能产生粉尘或其他有毒，有害物质的生产设备，应优先采用机械化、自动化和密闭装置完成加料、卸料等作业，并应设置吸收、净化、排放等装置或能与净化、排放系统连接的接口，以保证工作场所和排放的有害物质浓度符合要求。</w:t>
            </w:r>
          </w:p>
        </w:tc>
        <w:tc>
          <w:tcPr>
            <w:tcW w:w="2140" w:type="dxa"/>
            <w:shd w:val="clear" w:color="auto" w:fill="auto"/>
            <w:vAlign w:val="center"/>
          </w:tcPr>
          <w:p w14:paraId="7171CDBC">
            <w:pPr>
              <w:pStyle w:val="354"/>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《生产设备安全卫生设计总则》（GB5083-2023）第6.7.1条</w:t>
            </w:r>
          </w:p>
        </w:tc>
        <w:tc>
          <w:tcPr>
            <w:tcW w:w="2070" w:type="dxa"/>
            <w:shd w:val="clear" w:color="auto" w:fill="auto"/>
            <w:vAlign w:val="center"/>
          </w:tcPr>
          <w:p w14:paraId="45A556C6">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厂区在产尘环节已配置除尘设施。</w:t>
            </w:r>
          </w:p>
        </w:tc>
        <w:tc>
          <w:tcPr>
            <w:tcW w:w="845" w:type="dxa"/>
            <w:shd w:val="clear" w:color="auto" w:fill="auto"/>
            <w:vAlign w:val="center"/>
          </w:tcPr>
          <w:p w14:paraId="15371A7C">
            <w:pPr>
              <w:pStyle w:val="354"/>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1835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18A44402">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DAA8518">
            <w:pPr>
              <w:pStyle w:val="354"/>
              <w:overflowPunct w:val="0"/>
              <w:snapToGrid w:val="0"/>
              <w:jc w:val="both"/>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对于有毒、有害物质的密闭系统，应避免跑、冒、滴、漏。必要时，应配置监测、报警装置。对生产过程中尘、毒危害严重的生产设备，必须设计、安装可靠的事故处理装置及应急防护设施。</w:t>
            </w:r>
          </w:p>
        </w:tc>
        <w:tc>
          <w:tcPr>
            <w:tcW w:w="2140" w:type="dxa"/>
            <w:shd w:val="clear" w:color="auto" w:fill="auto"/>
            <w:vAlign w:val="center"/>
          </w:tcPr>
          <w:p w14:paraId="4EDDC6B0">
            <w:pPr>
              <w:pStyle w:val="354"/>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《生产设备安全卫生设计总则》（GB5083-2023）第6.7.2条</w:t>
            </w:r>
          </w:p>
        </w:tc>
        <w:tc>
          <w:tcPr>
            <w:tcW w:w="2070" w:type="dxa"/>
            <w:shd w:val="clear" w:color="auto" w:fill="auto"/>
            <w:vAlign w:val="center"/>
          </w:tcPr>
          <w:p w14:paraId="7F48A850">
            <w:pPr>
              <w:pStyle w:val="354"/>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项目不涉及有毒、有害物质生产，粉尘危害已采取相应除尘措施。</w:t>
            </w:r>
          </w:p>
        </w:tc>
        <w:tc>
          <w:tcPr>
            <w:tcW w:w="845" w:type="dxa"/>
            <w:shd w:val="clear" w:color="auto" w:fill="auto"/>
            <w:vAlign w:val="center"/>
          </w:tcPr>
          <w:p w14:paraId="579B92D7">
            <w:pPr>
              <w:pStyle w:val="354"/>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B665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6DE26DC0">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50E534A5">
            <w:pPr>
              <w:pStyle w:val="355"/>
              <w:overflowPunct w:val="0"/>
              <w:snapToGrid w:val="0"/>
              <w:spacing w:line="300" w:lineRule="exact"/>
              <w:jc w:val="both"/>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生产设备运行时可能触及并易造成人身伤害的可动零部件应配置安全卫生防护装置。</w:t>
            </w:r>
          </w:p>
        </w:tc>
        <w:tc>
          <w:tcPr>
            <w:tcW w:w="2140" w:type="dxa"/>
            <w:shd w:val="clear" w:color="auto" w:fill="auto"/>
            <w:vAlign w:val="center"/>
          </w:tcPr>
          <w:p w14:paraId="760CA950">
            <w:pPr>
              <w:pStyle w:val="355"/>
              <w:overflowPunct w:val="0"/>
              <w:snapToGrid w:val="0"/>
              <w:spacing w:line="300" w:lineRule="exact"/>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1BD1D21C">
            <w:pPr>
              <w:pStyle w:val="355"/>
              <w:overflowPunct w:val="0"/>
              <w:snapToGrid w:val="0"/>
              <w:spacing w:line="300" w:lineRule="exact"/>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第6.1.1条</w:t>
            </w:r>
          </w:p>
        </w:tc>
        <w:tc>
          <w:tcPr>
            <w:tcW w:w="2070" w:type="dxa"/>
            <w:shd w:val="clear" w:color="auto" w:fill="auto"/>
            <w:vAlign w:val="center"/>
          </w:tcPr>
          <w:p w14:paraId="24BCB207">
            <w:pPr>
              <w:overflowPunct w:val="0"/>
              <w:snapToGrid w:val="0"/>
              <w:spacing w:line="300" w:lineRule="exac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各设备存在危险的部位均设置了防护网、罩防护。</w:t>
            </w:r>
          </w:p>
        </w:tc>
        <w:tc>
          <w:tcPr>
            <w:tcW w:w="845" w:type="dxa"/>
            <w:shd w:val="clear" w:color="auto" w:fill="auto"/>
            <w:vAlign w:val="center"/>
          </w:tcPr>
          <w:p w14:paraId="3EA4D64C">
            <w:pPr>
              <w:overflowPunct w:val="0"/>
              <w:snapToGrid w:val="0"/>
              <w:spacing w:line="300" w:lineRule="exac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FCF3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4282A4C9">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4B2E9097">
            <w:pPr>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工艺方案设计应流程简洁、流畅，避免物流、人流交叉。</w:t>
            </w:r>
          </w:p>
        </w:tc>
        <w:tc>
          <w:tcPr>
            <w:tcW w:w="2140" w:type="dxa"/>
            <w:vAlign w:val="center"/>
          </w:tcPr>
          <w:p w14:paraId="51CE3C27">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《烧结砖瓦工厂设计规范》</w:t>
            </w:r>
            <w:r>
              <w:rPr>
                <w:rFonts w:hint="eastAsia" w:ascii="宋体" w:hAnsi="宋体" w:eastAsia="宋体" w:cs="宋体"/>
                <w:bCs/>
                <w:color w:val="000000" w:themeColor="text1"/>
                <w:sz w:val="21"/>
                <w:szCs w:val="21"/>
                <w14:textFill>
                  <w14:solidFill>
                    <w14:schemeClr w14:val="tx1"/>
                  </w14:solidFill>
                </w14:textFill>
              </w:rPr>
              <w:br w:type="textWrapping"/>
            </w:r>
            <w:r>
              <w:rPr>
                <w:rFonts w:hint="eastAsia" w:ascii="宋体" w:hAnsi="宋体" w:eastAsia="宋体" w:cs="宋体"/>
                <w:bCs/>
                <w:color w:val="000000" w:themeColor="text1"/>
                <w:sz w:val="21"/>
                <w:szCs w:val="21"/>
                <w14:textFill>
                  <w14:solidFill>
                    <w14:schemeClr w14:val="tx1"/>
                  </w14:solidFill>
                </w14:textFill>
              </w:rPr>
              <w:t>（GB 50701-2011）</w:t>
            </w:r>
            <w:r>
              <w:rPr>
                <w:rFonts w:hint="eastAsia" w:ascii="宋体" w:hAnsi="宋体" w:eastAsia="宋体" w:cs="宋体"/>
                <w:bCs/>
                <w:color w:val="000000" w:themeColor="text1"/>
                <w:sz w:val="21"/>
                <w:szCs w:val="21"/>
                <w14:textFill>
                  <w14:solidFill>
                    <w14:schemeClr w14:val="tx1"/>
                  </w14:solidFill>
                </w14:textFill>
              </w:rPr>
              <w:br w:type="textWrapping"/>
            </w:r>
            <w:r>
              <w:rPr>
                <w:rFonts w:hint="eastAsia" w:ascii="宋体" w:hAnsi="宋体" w:eastAsia="宋体" w:cs="宋体"/>
                <w:bCs/>
                <w:color w:val="000000" w:themeColor="text1"/>
                <w:sz w:val="21"/>
                <w:szCs w:val="21"/>
                <w14:textFill>
                  <w14:solidFill>
                    <w14:schemeClr w14:val="tx1"/>
                  </w14:solidFill>
                </w14:textFill>
              </w:rPr>
              <w:t>第8.2.3条</w:t>
            </w:r>
          </w:p>
        </w:tc>
        <w:tc>
          <w:tcPr>
            <w:tcW w:w="2070" w:type="dxa"/>
            <w:vAlign w:val="center"/>
          </w:tcPr>
          <w:p w14:paraId="63DC0583">
            <w:pPr>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该项目工艺流程简洁、流畅，没有物流和人流交叉。</w:t>
            </w:r>
          </w:p>
        </w:tc>
        <w:tc>
          <w:tcPr>
            <w:tcW w:w="845" w:type="dxa"/>
            <w:vAlign w:val="center"/>
          </w:tcPr>
          <w:p w14:paraId="69EE0554">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FCDB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6F093984">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4523F0EE">
            <w:pPr>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工艺设计应保证成型工段供料均匀，原料在成型前应除铁。</w:t>
            </w:r>
          </w:p>
        </w:tc>
        <w:tc>
          <w:tcPr>
            <w:tcW w:w="2140" w:type="dxa"/>
            <w:vAlign w:val="center"/>
          </w:tcPr>
          <w:p w14:paraId="3C637D3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《烧结砖瓦工厂设计规范》</w:t>
            </w:r>
            <w:r>
              <w:rPr>
                <w:rFonts w:hint="eastAsia" w:ascii="宋体" w:hAnsi="宋体" w:eastAsia="宋体" w:cs="宋体"/>
                <w:bCs/>
                <w:color w:val="000000" w:themeColor="text1"/>
                <w:sz w:val="21"/>
                <w:szCs w:val="21"/>
                <w14:textFill>
                  <w14:solidFill>
                    <w14:schemeClr w14:val="tx1"/>
                  </w14:solidFill>
                </w14:textFill>
              </w:rPr>
              <w:br w:type="textWrapping"/>
            </w:r>
            <w:r>
              <w:rPr>
                <w:rFonts w:hint="eastAsia" w:ascii="宋体" w:hAnsi="宋体" w:eastAsia="宋体" w:cs="宋体"/>
                <w:bCs/>
                <w:color w:val="000000" w:themeColor="text1"/>
                <w:sz w:val="21"/>
                <w:szCs w:val="21"/>
                <w14:textFill>
                  <w14:solidFill>
                    <w14:schemeClr w14:val="tx1"/>
                  </w14:solidFill>
                </w14:textFill>
              </w:rPr>
              <w:t>（GB 50701-2011）</w:t>
            </w:r>
            <w:r>
              <w:rPr>
                <w:rFonts w:hint="eastAsia" w:ascii="宋体" w:hAnsi="宋体" w:eastAsia="宋体" w:cs="宋体"/>
                <w:bCs/>
                <w:color w:val="000000" w:themeColor="text1"/>
                <w:sz w:val="21"/>
                <w:szCs w:val="21"/>
                <w14:textFill>
                  <w14:solidFill>
                    <w14:schemeClr w14:val="tx1"/>
                  </w14:solidFill>
                </w14:textFill>
              </w:rPr>
              <w:br w:type="textWrapping"/>
            </w:r>
            <w:r>
              <w:rPr>
                <w:rFonts w:hint="eastAsia" w:ascii="宋体" w:hAnsi="宋体" w:eastAsia="宋体" w:cs="宋体"/>
                <w:bCs/>
                <w:color w:val="000000" w:themeColor="text1"/>
                <w:sz w:val="21"/>
                <w:szCs w:val="21"/>
                <w14:textFill>
                  <w14:solidFill>
                    <w14:schemeClr w14:val="tx1"/>
                  </w14:solidFill>
                </w14:textFill>
              </w:rPr>
              <w:t>第8.4.1条</w:t>
            </w:r>
          </w:p>
        </w:tc>
        <w:tc>
          <w:tcPr>
            <w:tcW w:w="2070" w:type="dxa"/>
            <w:vAlign w:val="center"/>
          </w:tcPr>
          <w:p w14:paraId="38697B5C">
            <w:pPr>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原料进入破碎机前的皮带末端设置了除铁装置。</w:t>
            </w:r>
          </w:p>
        </w:tc>
        <w:tc>
          <w:tcPr>
            <w:tcW w:w="845" w:type="dxa"/>
            <w:vAlign w:val="center"/>
          </w:tcPr>
          <w:p w14:paraId="0EB4F89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ABE2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6C841805">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531CFB36">
            <w:pPr>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烧结砖焙烧窑炉应采用节能型窑炉。窑炉焙烧系统的能效设计指标应符合现行国家标准《烧结砖瓦工厂节能设计规范》GB 50528 的规定。</w:t>
            </w:r>
          </w:p>
        </w:tc>
        <w:tc>
          <w:tcPr>
            <w:tcW w:w="2140" w:type="dxa"/>
            <w:vAlign w:val="center"/>
          </w:tcPr>
          <w:p w14:paraId="75F43467">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《烧结砖瓦工厂设计规范》</w:t>
            </w:r>
            <w:r>
              <w:rPr>
                <w:rFonts w:hint="eastAsia" w:ascii="宋体" w:hAnsi="宋体" w:eastAsia="宋体" w:cs="宋体"/>
                <w:bCs/>
                <w:color w:val="000000" w:themeColor="text1"/>
                <w:sz w:val="21"/>
                <w:szCs w:val="21"/>
                <w14:textFill>
                  <w14:solidFill>
                    <w14:schemeClr w14:val="tx1"/>
                  </w14:solidFill>
                </w14:textFill>
              </w:rPr>
              <w:br w:type="textWrapping"/>
            </w:r>
            <w:r>
              <w:rPr>
                <w:rFonts w:hint="eastAsia" w:ascii="宋体" w:hAnsi="宋体" w:eastAsia="宋体" w:cs="宋体"/>
                <w:bCs/>
                <w:color w:val="000000" w:themeColor="text1"/>
                <w:sz w:val="21"/>
                <w:szCs w:val="21"/>
                <w14:textFill>
                  <w14:solidFill>
                    <w14:schemeClr w14:val="tx1"/>
                  </w14:solidFill>
                </w14:textFill>
              </w:rPr>
              <w:t>（GB 50701-2011）</w:t>
            </w:r>
            <w:r>
              <w:rPr>
                <w:rFonts w:hint="eastAsia" w:ascii="宋体" w:hAnsi="宋体" w:eastAsia="宋体" w:cs="宋体"/>
                <w:bCs/>
                <w:color w:val="000000" w:themeColor="text1"/>
                <w:sz w:val="21"/>
                <w:szCs w:val="21"/>
                <w14:textFill>
                  <w14:solidFill>
                    <w14:schemeClr w14:val="tx1"/>
                  </w14:solidFill>
                </w14:textFill>
              </w:rPr>
              <w:br w:type="textWrapping"/>
            </w:r>
            <w:r>
              <w:rPr>
                <w:rFonts w:hint="eastAsia" w:ascii="宋体" w:hAnsi="宋体" w:eastAsia="宋体" w:cs="宋体"/>
                <w:bCs/>
                <w:color w:val="000000" w:themeColor="text1"/>
                <w:sz w:val="21"/>
                <w:szCs w:val="21"/>
                <w14:textFill>
                  <w14:solidFill>
                    <w14:schemeClr w14:val="tx1"/>
                  </w14:solidFill>
                </w14:textFill>
              </w:rPr>
              <w:t>第8.6.1条</w:t>
            </w:r>
          </w:p>
        </w:tc>
        <w:tc>
          <w:tcPr>
            <w:tcW w:w="2070" w:type="dxa"/>
            <w:vAlign w:val="center"/>
          </w:tcPr>
          <w:p w14:paraId="56D3AA06">
            <w:pPr>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该项目采用隧道窑，为成熟工艺，能够满足要求。</w:t>
            </w:r>
          </w:p>
        </w:tc>
        <w:tc>
          <w:tcPr>
            <w:tcW w:w="845" w:type="dxa"/>
            <w:vAlign w:val="center"/>
          </w:tcPr>
          <w:p w14:paraId="3BD3C61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A84B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5CE69E65">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30419C0F">
            <w:pPr>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隧道窑应设置回车线，回车线应设计码车位、存车位、卸车位及检修车位，长度应能满足生产需要，并符合工艺流畅的原则。</w:t>
            </w:r>
          </w:p>
        </w:tc>
        <w:tc>
          <w:tcPr>
            <w:tcW w:w="2140" w:type="dxa"/>
            <w:vAlign w:val="center"/>
          </w:tcPr>
          <w:p w14:paraId="0690B17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《烧结砖瓦工厂设计规范》</w:t>
            </w:r>
            <w:r>
              <w:rPr>
                <w:rFonts w:hint="eastAsia" w:ascii="宋体" w:hAnsi="宋体" w:eastAsia="宋体" w:cs="宋体"/>
                <w:bCs/>
                <w:color w:val="000000" w:themeColor="text1"/>
                <w:sz w:val="21"/>
                <w:szCs w:val="21"/>
                <w14:textFill>
                  <w14:solidFill>
                    <w14:schemeClr w14:val="tx1"/>
                  </w14:solidFill>
                </w14:textFill>
              </w:rPr>
              <w:br w:type="textWrapping"/>
            </w:r>
            <w:r>
              <w:rPr>
                <w:rFonts w:hint="eastAsia" w:ascii="宋体" w:hAnsi="宋体" w:eastAsia="宋体" w:cs="宋体"/>
                <w:bCs/>
                <w:color w:val="000000" w:themeColor="text1"/>
                <w:sz w:val="21"/>
                <w:szCs w:val="21"/>
                <w14:textFill>
                  <w14:solidFill>
                    <w14:schemeClr w14:val="tx1"/>
                  </w14:solidFill>
                </w14:textFill>
              </w:rPr>
              <w:t>（GB 50701-2011）</w:t>
            </w:r>
            <w:r>
              <w:rPr>
                <w:rFonts w:hint="eastAsia" w:ascii="宋体" w:hAnsi="宋体" w:eastAsia="宋体" w:cs="宋体"/>
                <w:bCs/>
                <w:color w:val="000000" w:themeColor="text1"/>
                <w:sz w:val="21"/>
                <w:szCs w:val="21"/>
                <w14:textFill>
                  <w14:solidFill>
                    <w14:schemeClr w14:val="tx1"/>
                  </w14:solidFill>
                </w14:textFill>
              </w:rPr>
              <w:br w:type="textWrapping"/>
            </w:r>
            <w:r>
              <w:rPr>
                <w:rFonts w:hint="eastAsia" w:ascii="宋体" w:hAnsi="宋体" w:eastAsia="宋体" w:cs="宋体"/>
                <w:bCs/>
                <w:color w:val="000000" w:themeColor="text1"/>
                <w:sz w:val="21"/>
                <w:szCs w:val="21"/>
                <w14:textFill>
                  <w14:solidFill>
                    <w14:schemeClr w14:val="tx1"/>
                  </w14:solidFill>
                </w14:textFill>
              </w:rPr>
              <w:t>第8.6.16条</w:t>
            </w:r>
          </w:p>
        </w:tc>
        <w:tc>
          <w:tcPr>
            <w:tcW w:w="2070" w:type="dxa"/>
            <w:vAlign w:val="center"/>
          </w:tcPr>
          <w:p w14:paraId="220AAC36">
            <w:pPr>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该项目的隧道窑设施满足上述要求。</w:t>
            </w:r>
          </w:p>
        </w:tc>
        <w:tc>
          <w:tcPr>
            <w:tcW w:w="845" w:type="dxa"/>
            <w:vAlign w:val="center"/>
          </w:tcPr>
          <w:p w14:paraId="07BBDD67">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099A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43B512D1">
            <w:pPr>
              <w:numPr>
                <w:ilvl w:val="0"/>
                <w:numId w:val="12"/>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6F56DF0D">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使用单位应当在压力容器定期检验有效期届满前1个月向检验机构提出定期检验要求。检验机构接到定期检验要求后，应当及时进行检验。</w:t>
            </w:r>
          </w:p>
        </w:tc>
        <w:tc>
          <w:tcPr>
            <w:tcW w:w="2140" w:type="dxa"/>
            <w:vAlign w:val="center"/>
          </w:tcPr>
          <w:p w14:paraId="549F1F3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《压力容器定期检验规则》（TSG R7001-2013）</w:t>
            </w:r>
          </w:p>
          <w:p w14:paraId="41918CA2">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第十条</w:t>
            </w:r>
          </w:p>
        </w:tc>
        <w:tc>
          <w:tcPr>
            <w:tcW w:w="2070" w:type="dxa"/>
            <w:vAlign w:val="center"/>
          </w:tcPr>
          <w:p w14:paraId="4893963E">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所查的安全阀均在检验周期内使用。</w:t>
            </w:r>
          </w:p>
        </w:tc>
        <w:tc>
          <w:tcPr>
            <w:tcW w:w="845" w:type="dxa"/>
            <w:vAlign w:val="center"/>
          </w:tcPr>
          <w:p w14:paraId="2237A6FB">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37F82ADB">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707" w:name="_Toc9886"/>
      <w:bookmarkStart w:id="708" w:name="_Toc9284"/>
      <w:r>
        <w:rPr>
          <w:rFonts w:hint="default" w:ascii="Times New Roman" w:hAnsi="Times New Roman" w:eastAsia="黑体" w:cs="Times New Roman"/>
          <w:color w:val="000000" w:themeColor="text1"/>
          <w:lang w:val="en-US" w:eastAsia="zh-CN"/>
          <w14:textFill>
            <w14:solidFill>
              <w14:schemeClr w14:val="tx1"/>
            </w14:solidFill>
          </w14:textFill>
        </w:rPr>
        <w:t>5.2.2作业条件危险性分析</w:t>
      </w:r>
      <w:bookmarkEnd w:id="707"/>
      <w:bookmarkEnd w:id="708"/>
    </w:p>
    <w:p w14:paraId="66BE9BE3">
      <w:pPr>
        <w:adjustRightInd w:val="0"/>
        <w:snapToGrid w:val="0"/>
        <w:spacing w:line="500" w:lineRule="exact"/>
        <w:ind w:firstLine="561"/>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项目主要生产工艺过程为页岩烧结空心砖加工工序（原料破碎工段；搅拌工段；挤压成型工段；切坯、码坯工段；半成品堆场工段；烘烤、焙烧工段），由于生产中供配电单元、给排水单元也具有一定的危险性，因此也单独纳入此次工艺作业条件危险性分析。根据各生产工艺在生产过程中的操作条件及作业人员进入危险环境的频次，下面分别对各生产工艺涉及的各参数进行取值计算。</w:t>
      </w:r>
    </w:p>
    <w:p w14:paraId="6E0AEF95">
      <w:pPr>
        <w:adjustRightInd w:val="0"/>
        <w:snapToGrid w:val="0"/>
        <w:spacing w:line="500" w:lineRule="exact"/>
        <w:ind w:firstLine="561"/>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以供配电单元为例，通过对其操作条件及危险性分析，可知此工艺生产过程中有危险事件发生可能性L，由于是可以设想，因此L值取0.5，又因操作人员逐日暴露在危险环境中，因此E值取6，根据该作业环境中产生的危害对人体的可能伤害程度，危险严重度C值取3。按照以上取值计算：</w:t>
      </w:r>
    </w:p>
    <w:p w14:paraId="6AB7DE38">
      <w:pPr>
        <w:adjustRightInd w:val="0"/>
        <w:snapToGrid w:val="0"/>
        <w:spacing w:line="500" w:lineRule="exact"/>
        <w:ind w:firstLine="561"/>
        <w:contextualSpacing/>
        <w:jc w:val="center"/>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kern w:val="0"/>
          <w:sz w:val="28"/>
          <w:szCs w:val="28"/>
          <w14:textFill>
            <w14:solidFill>
              <w14:schemeClr w14:val="tx1"/>
            </w14:solidFill>
          </w14:textFill>
        </w:rPr>
        <w:t>危险性（D）= L×E×C</w:t>
      </w:r>
    </w:p>
    <w:p w14:paraId="7B076254">
      <w:pPr>
        <w:adjustRightInd w:val="0"/>
        <w:snapToGrid w:val="0"/>
        <w:spacing w:line="500" w:lineRule="exact"/>
        <w:ind w:firstLine="561"/>
        <w:contextualSpacing/>
        <w:jc w:val="center"/>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kern w:val="0"/>
          <w:sz w:val="28"/>
          <w:szCs w:val="28"/>
          <w14:textFill>
            <w14:solidFill>
              <w14:schemeClr w14:val="tx1"/>
            </w14:solidFill>
          </w14:textFill>
        </w:rPr>
        <w:t xml:space="preserve">           =0.5×6×3</w:t>
      </w:r>
    </w:p>
    <w:p w14:paraId="5C0A699D">
      <w:pPr>
        <w:adjustRightInd w:val="0"/>
        <w:snapToGrid w:val="0"/>
        <w:spacing w:line="500" w:lineRule="exact"/>
        <w:ind w:firstLine="561"/>
        <w:contextualSpacing/>
        <w:jc w:val="center"/>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kern w:val="0"/>
          <w:sz w:val="28"/>
          <w:szCs w:val="28"/>
          <w14:textFill>
            <w14:solidFill>
              <w14:schemeClr w14:val="tx1"/>
            </w14:solidFill>
          </w14:textFill>
        </w:rPr>
        <w:t xml:space="preserve">      =9</w:t>
      </w:r>
    </w:p>
    <w:p w14:paraId="6497F918">
      <w:pPr>
        <w:keepNext w:val="0"/>
        <w:keepLines w:val="0"/>
        <w:pageBreakBefore w:val="0"/>
        <w:widowControl w:val="0"/>
        <w:kinsoku/>
        <w:wordWrap/>
        <w:overflowPunct/>
        <w:topLinePunct w:val="0"/>
        <w:autoSpaceDE/>
        <w:autoSpaceDN/>
        <w:bidi w:val="0"/>
        <w:adjustRightInd/>
        <w:snapToGrid/>
        <w:spacing w:line="500" w:lineRule="exact"/>
        <w:ind w:firstLine="560" w:firstLineChars="200"/>
        <w:contextualSpacing/>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对照危险性程度分级的分数值可以得出该项目原料储运工序的危险性程度为可能危险。按照以上方法，可以得出该项目在</w:t>
      </w:r>
      <w:r>
        <w:rPr>
          <w:rFonts w:hint="eastAsia" w:ascii="宋体" w:hAnsi="宋体" w:eastAsia="宋体" w:cs="宋体"/>
          <w:color w:val="000000" w:themeColor="text1"/>
          <w:sz w:val="28"/>
          <w:szCs w:val="28"/>
          <w14:textFill>
            <w14:solidFill>
              <w14:schemeClr w14:val="tx1"/>
            </w14:solidFill>
          </w14:textFill>
        </w:rPr>
        <w:t>原料破碎工段；搅拌工段；挤压成型工段；切坯、码坯工段；半成品堆场工段；烘烤、焙烧工段，由于生产中供配电单元、给排水单元</w:t>
      </w:r>
      <w:r>
        <w:rPr>
          <w:rFonts w:hint="eastAsia" w:ascii="宋体" w:hAnsi="宋体" w:eastAsia="宋体" w:cs="宋体"/>
          <w:color w:val="000000" w:themeColor="text1"/>
          <w:kern w:val="0"/>
          <w:sz w:val="28"/>
          <w:szCs w:val="28"/>
          <w14:textFill>
            <w14:solidFill>
              <w14:schemeClr w14:val="tx1"/>
            </w14:solidFill>
          </w14:textFill>
        </w:rPr>
        <w:t>在生产过程中的危险性程度。取值及计算结果列入表5-</w:t>
      </w:r>
      <w:r>
        <w:rPr>
          <w:rFonts w:hint="eastAsia" w:ascii="宋体" w:hAnsi="宋体" w:eastAsia="宋体" w:cs="宋体"/>
          <w:color w:val="000000" w:themeColor="text1"/>
          <w:kern w:val="0"/>
          <w:sz w:val="28"/>
          <w:szCs w:val="28"/>
          <w:lang w:val="en-US" w:eastAsia="zh-CN"/>
          <w14:textFill>
            <w14:solidFill>
              <w14:schemeClr w14:val="tx1"/>
            </w14:solidFill>
          </w14:textFill>
        </w:rPr>
        <w:t>3</w:t>
      </w:r>
      <w:r>
        <w:rPr>
          <w:rFonts w:hint="eastAsia" w:ascii="宋体" w:hAnsi="宋体" w:eastAsia="宋体" w:cs="宋体"/>
          <w:color w:val="000000" w:themeColor="text1"/>
          <w:kern w:val="0"/>
          <w:sz w:val="28"/>
          <w:szCs w:val="28"/>
          <w14:textFill>
            <w14:solidFill>
              <w14:schemeClr w14:val="tx1"/>
            </w14:solidFill>
          </w14:textFill>
        </w:rPr>
        <w:t>：</w:t>
      </w:r>
    </w:p>
    <w:p w14:paraId="17EE4126">
      <w:pPr>
        <w:adjustRightInd w:val="0"/>
        <w:snapToGrid w:val="0"/>
        <w:spacing w:line="500" w:lineRule="exact"/>
        <w:contextualSpacing/>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表5-</w:t>
      </w:r>
      <w:r>
        <w:rPr>
          <w:rFonts w:hint="eastAsia" w:asci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 xml:space="preserve"> 评价结果表</w:t>
      </w:r>
    </w:p>
    <w:tbl>
      <w:tblPr>
        <w:tblStyle w:val="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1652"/>
        <w:gridCol w:w="1028"/>
        <w:gridCol w:w="1122"/>
        <w:gridCol w:w="1229"/>
        <w:gridCol w:w="1106"/>
        <w:gridCol w:w="1738"/>
      </w:tblGrid>
      <w:tr w14:paraId="2ABF0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2664" w:type="dxa"/>
            <w:gridSpan w:val="2"/>
            <w:vAlign w:val="center"/>
          </w:tcPr>
          <w:p w14:paraId="3605EC99">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工序项目</w:t>
            </w:r>
          </w:p>
        </w:tc>
        <w:tc>
          <w:tcPr>
            <w:tcW w:w="1110" w:type="dxa"/>
            <w:vAlign w:val="center"/>
          </w:tcPr>
          <w:p w14:paraId="660BDA4D">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L</w:t>
            </w:r>
          </w:p>
        </w:tc>
        <w:tc>
          <w:tcPr>
            <w:tcW w:w="1215" w:type="dxa"/>
            <w:vAlign w:val="center"/>
          </w:tcPr>
          <w:p w14:paraId="7DCBBB7D">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E</w:t>
            </w:r>
          </w:p>
        </w:tc>
        <w:tc>
          <w:tcPr>
            <w:tcW w:w="1335" w:type="dxa"/>
            <w:vAlign w:val="center"/>
          </w:tcPr>
          <w:p w14:paraId="4C0E6585">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C</w:t>
            </w:r>
          </w:p>
        </w:tc>
        <w:tc>
          <w:tcPr>
            <w:tcW w:w="1185" w:type="dxa"/>
            <w:vAlign w:val="center"/>
          </w:tcPr>
          <w:p w14:paraId="0E3D744B">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D</w:t>
            </w:r>
          </w:p>
        </w:tc>
        <w:tc>
          <w:tcPr>
            <w:tcW w:w="1891" w:type="dxa"/>
            <w:vAlign w:val="center"/>
          </w:tcPr>
          <w:p w14:paraId="03B7B999">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危险程度分级</w:t>
            </w:r>
          </w:p>
        </w:tc>
      </w:tr>
      <w:tr w14:paraId="21E20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4" w:type="dxa"/>
            <w:vMerge w:val="restart"/>
            <w:vAlign w:val="center"/>
          </w:tcPr>
          <w:p w14:paraId="426883FD">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页岩烧结空心砖加工工序</w:t>
            </w:r>
          </w:p>
        </w:tc>
        <w:tc>
          <w:tcPr>
            <w:tcW w:w="1770" w:type="dxa"/>
            <w:vAlign w:val="center"/>
          </w:tcPr>
          <w:p w14:paraId="167712A6">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原料破碎工段</w:t>
            </w:r>
          </w:p>
        </w:tc>
        <w:tc>
          <w:tcPr>
            <w:tcW w:w="1110" w:type="dxa"/>
            <w:vAlign w:val="center"/>
          </w:tcPr>
          <w:p w14:paraId="0925A288">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215" w:type="dxa"/>
            <w:vAlign w:val="center"/>
          </w:tcPr>
          <w:p w14:paraId="581A655E">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335" w:type="dxa"/>
            <w:vAlign w:val="center"/>
          </w:tcPr>
          <w:p w14:paraId="1E6B3F3E">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85" w:type="dxa"/>
            <w:vAlign w:val="center"/>
          </w:tcPr>
          <w:p w14:paraId="728652FA">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54</w:t>
            </w:r>
          </w:p>
        </w:tc>
        <w:tc>
          <w:tcPr>
            <w:tcW w:w="1891" w:type="dxa"/>
            <w:vAlign w:val="center"/>
          </w:tcPr>
          <w:p w14:paraId="518F9359">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可能危险</w:t>
            </w:r>
          </w:p>
        </w:tc>
      </w:tr>
      <w:tr w14:paraId="1C05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4" w:type="dxa"/>
            <w:vMerge w:val="continue"/>
            <w:vAlign w:val="center"/>
          </w:tcPr>
          <w:p w14:paraId="57BD4B4D">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1770" w:type="dxa"/>
            <w:vAlign w:val="center"/>
          </w:tcPr>
          <w:p w14:paraId="53805DEF">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搅拌工段</w:t>
            </w:r>
          </w:p>
        </w:tc>
        <w:tc>
          <w:tcPr>
            <w:tcW w:w="1110" w:type="dxa"/>
            <w:vAlign w:val="center"/>
          </w:tcPr>
          <w:p w14:paraId="5080C8BE">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215" w:type="dxa"/>
            <w:vAlign w:val="center"/>
          </w:tcPr>
          <w:p w14:paraId="166769F0">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335" w:type="dxa"/>
            <w:vAlign w:val="center"/>
          </w:tcPr>
          <w:p w14:paraId="68AFF6F7">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85" w:type="dxa"/>
            <w:vAlign w:val="center"/>
          </w:tcPr>
          <w:p w14:paraId="73D46289">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54</w:t>
            </w:r>
          </w:p>
        </w:tc>
        <w:tc>
          <w:tcPr>
            <w:tcW w:w="1891" w:type="dxa"/>
            <w:vAlign w:val="center"/>
          </w:tcPr>
          <w:p w14:paraId="6AB59D18">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可能危险</w:t>
            </w:r>
          </w:p>
        </w:tc>
      </w:tr>
      <w:tr w14:paraId="5470C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4" w:type="dxa"/>
            <w:vMerge w:val="continue"/>
            <w:vAlign w:val="center"/>
          </w:tcPr>
          <w:p w14:paraId="2E52548A">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1770" w:type="dxa"/>
            <w:vAlign w:val="center"/>
          </w:tcPr>
          <w:p w14:paraId="72C3E638">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挤压成型工段</w:t>
            </w:r>
          </w:p>
        </w:tc>
        <w:tc>
          <w:tcPr>
            <w:tcW w:w="1110" w:type="dxa"/>
            <w:vAlign w:val="center"/>
          </w:tcPr>
          <w:p w14:paraId="26951AA7">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215" w:type="dxa"/>
            <w:vAlign w:val="center"/>
          </w:tcPr>
          <w:p w14:paraId="202482CC">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335" w:type="dxa"/>
            <w:vAlign w:val="center"/>
          </w:tcPr>
          <w:p w14:paraId="1D9B1680">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85" w:type="dxa"/>
            <w:vAlign w:val="center"/>
          </w:tcPr>
          <w:p w14:paraId="784EBA44">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54</w:t>
            </w:r>
          </w:p>
        </w:tc>
        <w:tc>
          <w:tcPr>
            <w:tcW w:w="1891" w:type="dxa"/>
            <w:vAlign w:val="center"/>
          </w:tcPr>
          <w:p w14:paraId="676593FD">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可能危险</w:t>
            </w:r>
          </w:p>
        </w:tc>
      </w:tr>
      <w:tr w14:paraId="4357E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4" w:type="dxa"/>
            <w:vMerge w:val="continue"/>
            <w:vAlign w:val="center"/>
          </w:tcPr>
          <w:p w14:paraId="3AEC8FDC">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1770" w:type="dxa"/>
            <w:vAlign w:val="center"/>
          </w:tcPr>
          <w:p w14:paraId="68B00569">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切坯、码坯工段</w:t>
            </w:r>
          </w:p>
        </w:tc>
        <w:tc>
          <w:tcPr>
            <w:tcW w:w="1110" w:type="dxa"/>
            <w:vAlign w:val="center"/>
          </w:tcPr>
          <w:p w14:paraId="0BB3F543">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215" w:type="dxa"/>
            <w:vAlign w:val="center"/>
          </w:tcPr>
          <w:p w14:paraId="154F58A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335" w:type="dxa"/>
            <w:vAlign w:val="center"/>
          </w:tcPr>
          <w:p w14:paraId="51B8A9B5">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p>
        </w:tc>
        <w:tc>
          <w:tcPr>
            <w:tcW w:w="1185" w:type="dxa"/>
            <w:vAlign w:val="center"/>
          </w:tcPr>
          <w:p w14:paraId="1878769A">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42</w:t>
            </w:r>
          </w:p>
        </w:tc>
        <w:tc>
          <w:tcPr>
            <w:tcW w:w="1891" w:type="dxa"/>
            <w:vAlign w:val="center"/>
          </w:tcPr>
          <w:p w14:paraId="5B49C907">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可能危险</w:t>
            </w:r>
          </w:p>
        </w:tc>
      </w:tr>
      <w:tr w14:paraId="15429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4" w:type="dxa"/>
            <w:vMerge w:val="continue"/>
            <w:vAlign w:val="center"/>
          </w:tcPr>
          <w:p w14:paraId="7A88A672">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1770" w:type="dxa"/>
            <w:vAlign w:val="center"/>
          </w:tcPr>
          <w:p w14:paraId="2E35A233">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半成品堆场工段</w:t>
            </w:r>
          </w:p>
        </w:tc>
        <w:tc>
          <w:tcPr>
            <w:tcW w:w="1110" w:type="dxa"/>
            <w:vAlign w:val="center"/>
          </w:tcPr>
          <w:p w14:paraId="7F12B0C1">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215" w:type="dxa"/>
            <w:vAlign w:val="center"/>
          </w:tcPr>
          <w:p w14:paraId="23FFE7C4">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335" w:type="dxa"/>
            <w:vAlign w:val="center"/>
          </w:tcPr>
          <w:p w14:paraId="07E79D85">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85" w:type="dxa"/>
            <w:vAlign w:val="center"/>
          </w:tcPr>
          <w:p w14:paraId="4D5F9600">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18</w:t>
            </w:r>
          </w:p>
        </w:tc>
        <w:tc>
          <w:tcPr>
            <w:tcW w:w="1891" w:type="dxa"/>
            <w:vAlign w:val="center"/>
          </w:tcPr>
          <w:p w14:paraId="520EC001">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稍有危险</w:t>
            </w:r>
          </w:p>
        </w:tc>
      </w:tr>
      <w:tr w14:paraId="553FA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4" w:type="dxa"/>
            <w:vMerge w:val="continue"/>
            <w:vAlign w:val="center"/>
          </w:tcPr>
          <w:p w14:paraId="01E990EF">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1770" w:type="dxa"/>
            <w:vAlign w:val="center"/>
          </w:tcPr>
          <w:p w14:paraId="4EE35CB6">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烘烤、焙烧工段</w:t>
            </w:r>
          </w:p>
        </w:tc>
        <w:tc>
          <w:tcPr>
            <w:tcW w:w="1110" w:type="dxa"/>
            <w:vAlign w:val="center"/>
          </w:tcPr>
          <w:p w14:paraId="216899AA">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215" w:type="dxa"/>
            <w:vAlign w:val="center"/>
          </w:tcPr>
          <w:p w14:paraId="2CDF0202">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335" w:type="dxa"/>
            <w:vAlign w:val="center"/>
          </w:tcPr>
          <w:p w14:paraId="05277F9F">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85" w:type="dxa"/>
            <w:vAlign w:val="center"/>
          </w:tcPr>
          <w:p w14:paraId="1B4BAF83">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54</w:t>
            </w:r>
          </w:p>
        </w:tc>
        <w:tc>
          <w:tcPr>
            <w:tcW w:w="1891" w:type="dxa"/>
            <w:vAlign w:val="center"/>
          </w:tcPr>
          <w:p w14:paraId="1D59795A">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可能危险</w:t>
            </w:r>
          </w:p>
        </w:tc>
      </w:tr>
      <w:tr w14:paraId="3CCBD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64" w:type="dxa"/>
            <w:gridSpan w:val="2"/>
            <w:vAlign w:val="center"/>
          </w:tcPr>
          <w:p w14:paraId="4565C638">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供配电系统</w:t>
            </w:r>
          </w:p>
        </w:tc>
        <w:tc>
          <w:tcPr>
            <w:tcW w:w="1110" w:type="dxa"/>
            <w:vAlign w:val="center"/>
          </w:tcPr>
          <w:p w14:paraId="31E86D6C">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215" w:type="dxa"/>
            <w:vAlign w:val="center"/>
          </w:tcPr>
          <w:p w14:paraId="7BFA7A46">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335" w:type="dxa"/>
            <w:vAlign w:val="center"/>
          </w:tcPr>
          <w:p w14:paraId="594A7F05">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p>
        </w:tc>
        <w:tc>
          <w:tcPr>
            <w:tcW w:w="1185" w:type="dxa"/>
            <w:vAlign w:val="center"/>
          </w:tcPr>
          <w:p w14:paraId="3DD986D8">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42</w:t>
            </w:r>
          </w:p>
        </w:tc>
        <w:tc>
          <w:tcPr>
            <w:tcW w:w="1891" w:type="dxa"/>
            <w:vAlign w:val="center"/>
          </w:tcPr>
          <w:p w14:paraId="2509BCCC">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可能危险</w:t>
            </w:r>
          </w:p>
        </w:tc>
      </w:tr>
      <w:tr w14:paraId="1AA86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64" w:type="dxa"/>
            <w:gridSpan w:val="2"/>
            <w:vAlign w:val="center"/>
          </w:tcPr>
          <w:p w14:paraId="79B7B2F5">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给排水系统</w:t>
            </w:r>
          </w:p>
        </w:tc>
        <w:tc>
          <w:tcPr>
            <w:tcW w:w="1110" w:type="dxa"/>
            <w:vAlign w:val="center"/>
          </w:tcPr>
          <w:p w14:paraId="7240C155">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215" w:type="dxa"/>
            <w:vAlign w:val="center"/>
          </w:tcPr>
          <w:p w14:paraId="386F127A">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335" w:type="dxa"/>
            <w:vAlign w:val="center"/>
          </w:tcPr>
          <w:p w14:paraId="48A5CBBA">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85" w:type="dxa"/>
            <w:vAlign w:val="center"/>
          </w:tcPr>
          <w:p w14:paraId="0F3FDABB">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18</w:t>
            </w:r>
          </w:p>
        </w:tc>
        <w:tc>
          <w:tcPr>
            <w:tcW w:w="1891" w:type="dxa"/>
            <w:vAlign w:val="center"/>
          </w:tcPr>
          <w:p w14:paraId="13028C13">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稍有危险</w:t>
            </w:r>
          </w:p>
        </w:tc>
      </w:tr>
    </w:tbl>
    <w:p w14:paraId="6911A00E">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从上表中可以看出：该项目各工序风险控制措施有效，半成品堆场工段、给排水系统为稍有危险单元，原料破碎工段、搅拌工段、挤压成型工段、切坯、码坯工段、烘烤、焙烧工段、供配电系统为可能危险单元。</w:t>
      </w:r>
    </w:p>
    <w:p w14:paraId="3CD013B6">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709" w:name="_Toc31834"/>
      <w:bookmarkStart w:id="710" w:name="_Toc29165"/>
      <w:r>
        <w:rPr>
          <w:rFonts w:hint="default" w:ascii="Times New Roman" w:hAnsi="Times New Roman" w:eastAsia="黑体" w:cs="Times New Roman"/>
          <w:color w:val="000000" w:themeColor="text1"/>
          <w:lang w:val="en-US" w:eastAsia="zh-CN"/>
          <w14:textFill>
            <w14:solidFill>
              <w14:schemeClr w14:val="tx1"/>
            </w14:solidFill>
          </w14:textFill>
        </w:rPr>
        <w:t>5.2.3单元小结</w:t>
      </w:r>
      <w:bookmarkEnd w:id="709"/>
      <w:bookmarkEnd w:id="710"/>
    </w:p>
    <w:p w14:paraId="7669C396">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通过以上分析评价可知：</w:t>
      </w:r>
    </w:p>
    <w:p w14:paraId="1DEC5E10">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安全检查表分析评价结果：该项目的生产工艺设备设施符合《生产设备安全卫生设计总则》（GB5083-</w:t>
      </w:r>
      <w:r>
        <w:rPr>
          <w:rFonts w:hint="eastAsia" w:hAnsi="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）、《生产过程安全卫生要求总则》（GB/T 12801-2008）、《烧结砖瓦工厂设计规范》（GB 50701-2011）、《中华人民共和国安全生产法》（中华人民共和国主席令第88号，2021年修订）、</w:t>
      </w:r>
      <w:r>
        <w:rPr>
          <w:rFonts w:hint="eastAsia" w:ascii="宋体" w:hAnsi="宋体" w:eastAsia="宋体" w:cs="宋体"/>
          <w:color w:val="000000" w:themeColor="text1"/>
          <w:kern w:val="0"/>
          <w:sz w:val="28"/>
          <w:szCs w:val="28"/>
          <w14:textFill>
            <w14:solidFill>
              <w14:schemeClr w14:val="tx1"/>
            </w14:solidFill>
          </w14:textFill>
        </w:rPr>
        <w:t>《压力容器定期检验规则》（TSG R7001-2013）</w:t>
      </w:r>
      <w:r>
        <w:rPr>
          <w:rFonts w:hint="eastAsia" w:ascii="宋体" w:hAnsi="宋体" w:eastAsia="宋体" w:cs="宋体"/>
          <w:color w:val="000000" w:themeColor="text1"/>
          <w:sz w:val="28"/>
          <w:szCs w:val="28"/>
          <w14:textFill>
            <w14:solidFill>
              <w14:schemeClr w14:val="tx1"/>
            </w14:solidFill>
          </w14:textFill>
        </w:rPr>
        <w:t>等相关规范的要求。</w:t>
      </w:r>
    </w:p>
    <w:p w14:paraId="16881B65">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作业条件危险性分析结果可知：该项目半成品堆场工段、给排水系统为稍有危险单元；原料破碎工段、搅拌工段、挤压成型工段、切坯、码坯工段、烘烤、焙烧工段、供配电系统为可能危险单元，企业的的风险控制措施有效。</w:t>
      </w:r>
    </w:p>
    <w:p w14:paraId="0BFBB1B2">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711" w:name="_Toc61474470"/>
      <w:bookmarkStart w:id="712" w:name="_Toc20842"/>
      <w:bookmarkStart w:id="713" w:name="_Toc30001447"/>
      <w:bookmarkStart w:id="714" w:name="_Toc13490"/>
      <w:bookmarkStart w:id="715" w:name="_Toc7513"/>
      <w:bookmarkStart w:id="716" w:name="_Toc32459"/>
      <w:r>
        <w:rPr>
          <w:rFonts w:hint="default" w:ascii="Times New Roman" w:hAnsi="Times New Roman" w:eastAsia="楷体" w:cs="Times New Roman"/>
          <w:color w:val="000000" w:themeColor="text1"/>
          <w14:textFill>
            <w14:solidFill>
              <w14:schemeClr w14:val="tx1"/>
            </w14:solidFill>
          </w14:textFill>
        </w:rPr>
        <w:t>5.3安全防护设施评价单元</w:t>
      </w:r>
      <w:bookmarkEnd w:id="711"/>
      <w:bookmarkEnd w:id="712"/>
      <w:bookmarkEnd w:id="713"/>
      <w:bookmarkEnd w:id="714"/>
      <w:bookmarkEnd w:id="715"/>
      <w:bookmarkEnd w:id="716"/>
    </w:p>
    <w:p w14:paraId="51DCA293">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717" w:name="_Toc26190"/>
      <w:bookmarkStart w:id="718" w:name="_Toc28763"/>
      <w:bookmarkStart w:id="719" w:name="_Toc1911"/>
      <w:bookmarkStart w:id="720" w:name="_Toc21957"/>
      <w:bookmarkStart w:id="721" w:name="_Toc31600"/>
      <w:bookmarkStart w:id="722" w:name="_Toc61474471"/>
      <w:bookmarkStart w:id="723" w:name="_Toc30001448"/>
      <w:r>
        <w:rPr>
          <w:rFonts w:hint="default" w:ascii="Times New Roman" w:hAnsi="Times New Roman" w:eastAsia="黑体" w:cs="Times New Roman"/>
          <w:color w:val="000000" w:themeColor="text1"/>
          <w:lang w:val="en-US" w:eastAsia="zh-CN"/>
          <w14:textFill>
            <w14:solidFill>
              <w14:schemeClr w14:val="tx1"/>
            </w14:solidFill>
          </w14:textFill>
        </w:rPr>
        <w:t>5.3.1常规防护设施和措施安全检查表法</w:t>
      </w:r>
      <w:bookmarkEnd w:id="717"/>
      <w:bookmarkEnd w:id="718"/>
      <w:bookmarkEnd w:id="719"/>
      <w:bookmarkEnd w:id="720"/>
      <w:bookmarkEnd w:id="721"/>
      <w:bookmarkEnd w:id="722"/>
      <w:bookmarkEnd w:id="723"/>
    </w:p>
    <w:p w14:paraId="1855C1FD">
      <w:pPr>
        <w:pStyle w:val="9"/>
        <w:keepNext w:val="0"/>
        <w:keepLines w:val="0"/>
        <w:pageBreakBefore w:val="0"/>
        <w:widowControl w:val="0"/>
        <w:kinsoku/>
        <w:wordWrap/>
        <w:overflowPunct/>
        <w:topLinePunct w:val="0"/>
        <w:autoSpaceDE/>
        <w:autoSpaceDN/>
        <w:bidi w:val="0"/>
        <w:adjustRightInd/>
        <w:snapToGri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根据《安全色》（GB2893-2008）、《安全标志及其使用导则》（GB2894-2008）、《机械安全防护装置固定式和活动式防护装置的设计与制造一般要求》（GB/T8196-2018）、《机械工业职业安全卫生设计规范》（JBJ18-2000）等规范的要求，编制了常规防护设施和措施检查表，对该项目的常规防护设施和措施进行检查，其检查结果见下表5-</w:t>
      </w:r>
      <w:r>
        <w:rPr>
          <w:rFonts w:hint="eastAsia"/>
          <w:color w:val="000000" w:themeColor="text1"/>
          <w:sz w:val="28"/>
          <w:szCs w:val="28"/>
          <w:lang w:val="en-US" w:eastAsia="zh-CN"/>
          <w14:textFill>
            <w14:solidFill>
              <w14:schemeClr w14:val="tx1"/>
            </w14:solidFill>
          </w14:textFill>
        </w:rPr>
        <w:t>4</w:t>
      </w:r>
      <w:r>
        <w:rPr>
          <w:color w:val="000000" w:themeColor="text1"/>
          <w:sz w:val="28"/>
          <w:szCs w:val="28"/>
          <w14:textFill>
            <w14:solidFill>
              <w14:schemeClr w14:val="tx1"/>
            </w14:solidFill>
          </w14:textFill>
        </w:rPr>
        <w:t>。</w:t>
      </w:r>
    </w:p>
    <w:p w14:paraId="2CFFBF8F">
      <w:pPr>
        <w:adjustRightInd w:val="0"/>
        <w:snapToGrid w:val="0"/>
        <w:spacing w:line="50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表5-</w:t>
      </w:r>
      <w:r>
        <w:rPr>
          <w:rFonts w:hint="eastAsia"/>
          <w:b/>
          <w:bCs/>
          <w:color w:val="000000" w:themeColor="text1"/>
          <w:szCs w:val="21"/>
          <w:lang w:val="en-US" w:eastAsia="zh-CN"/>
          <w14:textFill>
            <w14:solidFill>
              <w14:schemeClr w14:val="tx1"/>
            </w14:solidFill>
          </w14:textFill>
        </w:rPr>
        <w:t>4</w:t>
      </w:r>
      <w:r>
        <w:rPr>
          <w:b/>
          <w:bCs/>
          <w:color w:val="000000" w:themeColor="text1"/>
          <w:szCs w:val="21"/>
          <w14:textFill>
            <w14:solidFill>
              <w14:schemeClr w14:val="tx1"/>
            </w14:solidFill>
          </w14:textFill>
        </w:rPr>
        <w:t>常规防护设施和措施安全检查表</w:t>
      </w:r>
    </w:p>
    <w:tbl>
      <w:tblPr>
        <w:tblStyle w:val="51"/>
        <w:tblW w:w="89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3335"/>
        <w:gridCol w:w="2271"/>
        <w:gridCol w:w="1808"/>
        <w:gridCol w:w="806"/>
      </w:tblGrid>
      <w:tr w14:paraId="5BF6D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jc w:val="center"/>
        </w:trPr>
        <w:tc>
          <w:tcPr>
            <w:tcW w:w="750" w:type="dxa"/>
            <w:vAlign w:val="center"/>
          </w:tcPr>
          <w:p w14:paraId="7A1030C6">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335" w:type="dxa"/>
            <w:vAlign w:val="center"/>
          </w:tcPr>
          <w:p w14:paraId="4ADCA767">
            <w:pPr>
              <w:suppressAutoHyphens/>
              <w:adjustRightInd w:val="0"/>
              <w:snapToGrid w:val="0"/>
              <w:spacing w:line="300" w:lineRule="exact"/>
              <w:ind w:firstLine="211" w:firstLineChars="100"/>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检查内容</w:t>
            </w:r>
          </w:p>
        </w:tc>
        <w:tc>
          <w:tcPr>
            <w:tcW w:w="2271" w:type="dxa"/>
            <w:vAlign w:val="center"/>
          </w:tcPr>
          <w:p w14:paraId="2AFE8BB2">
            <w:pPr>
              <w:suppressAutoHyphens/>
              <w:adjustRightInd w:val="0"/>
              <w:snapToGrid w:val="0"/>
              <w:spacing w:line="300" w:lineRule="exact"/>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依据标准</w:t>
            </w:r>
          </w:p>
        </w:tc>
        <w:tc>
          <w:tcPr>
            <w:tcW w:w="1808" w:type="dxa"/>
            <w:vAlign w:val="center"/>
          </w:tcPr>
          <w:p w14:paraId="013768E7">
            <w:pPr>
              <w:suppressAutoHyphens/>
              <w:adjustRightInd w:val="0"/>
              <w:snapToGrid w:val="0"/>
              <w:spacing w:line="300" w:lineRule="exact"/>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检查情况</w:t>
            </w:r>
          </w:p>
        </w:tc>
        <w:tc>
          <w:tcPr>
            <w:tcW w:w="806" w:type="dxa"/>
            <w:vAlign w:val="center"/>
          </w:tcPr>
          <w:p w14:paraId="0B9D098D">
            <w:pPr>
              <w:suppressAutoHyphens/>
              <w:adjustRightInd w:val="0"/>
              <w:snapToGrid w:val="0"/>
              <w:spacing w:line="300" w:lineRule="exact"/>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结论</w:t>
            </w:r>
          </w:p>
        </w:tc>
      </w:tr>
      <w:tr w14:paraId="2E656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970" w:type="dxa"/>
            <w:gridSpan w:val="5"/>
            <w:vAlign w:val="center"/>
          </w:tcPr>
          <w:p w14:paraId="1066EF2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安全色与安全标识</w:t>
            </w:r>
          </w:p>
        </w:tc>
      </w:tr>
      <w:tr w14:paraId="7146E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CEFEA03">
            <w:pPr>
              <w:numPr>
                <w:ilvl w:val="0"/>
                <w:numId w:val="13"/>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88B7607">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使用安全色时要考虑周围的亮度及同其他颜色的关系,要使安全色能正确辨认。</w:t>
            </w:r>
          </w:p>
        </w:tc>
        <w:tc>
          <w:tcPr>
            <w:tcW w:w="2271" w:type="dxa"/>
            <w:vAlign w:val="center"/>
          </w:tcPr>
          <w:p w14:paraId="1F294222">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394FFECE">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第A.3条</w:t>
            </w:r>
          </w:p>
        </w:tc>
        <w:tc>
          <w:tcPr>
            <w:tcW w:w="1808" w:type="dxa"/>
            <w:vAlign w:val="center"/>
          </w:tcPr>
          <w:p w14:paraId="5541043D">
            <w:pPr>
              <w:tabs>
                <w:tab w:val="left" w:pos="2898"/>
              </w:tabs>
              <w:adjustRightInd w:val="0"/>
              <w:snapToGrid w:val="0"/>
              <w:spacing w:line="300" w:lineRule="exact"/>
              <w:ind w:left="210" w:hanging="210" w:hangingChars="1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该项目使用的安全色符合要求。</w:t>
            </w:r>
          </w:p>
        </w:tc>
        <w:tc>
          <w:tcPr>
            <w:tcW w:w="806" w:type="dxa"/>
            <w:vAlign w:val="center"/>
          </w:tcPr>
          <w:p w14:paraId="3E81FC87">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E5D3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D372868">
            <w:pPr>
              <w:numPr>
                <w:ilvl w:val="0"/>
                <w:numId w:val="13"/>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78329BA">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凡涂有安全色的部位，每半年应检查一次，应保持整洁、明亮，如有变色、褪色等不符合安全色范围,逆反射系数低于70%或安全色的使用环境改变时，应及时重涂或更换，以保证安全色正确、醒目，达到安全警示的目的。</w:t>
            </w:r>
          </w:p>
        </w:tc>
        <w:tc>
          <w:tcPr>
            <w:tcW w:w="2271" w:type="dxa"/>
            <w:vAlign w:val="center"/>
          </w:tcPr>
          <w:p w14:paraId="7B30EB7D">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0C1EC9B2">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第A.4条</w:t>
            </w:r>
          </w:p>
        </w:tc>
        <w:tc>
          <w:tcPr>
            <w:tcW w:w="1808" w:type="dxa"/>
            <w:vAlign w:val="center"/>
          </w:tcPr>
          <w:p w14:paraId="4750475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该公司对安全色的使用和管理符合规范要求。</w:t>
            </w:r>
          </w:p>
        </w:tc>
        <w:tc>
          <w:tcPr>
            <w:tcW w:w="806" w:type="dxa"/>
            <w:vAlign w:val="center"/>
          </w:tcPr>
          <w:p w14:paraId="10705D0B">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CC99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2435BF11">
            <w:pPr>
              <w:numPr>
                <w:ilvl w:val="0"/>
                <w:numId w:val="13"/>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0B03805E">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标志牌设置的高度，应尽量与人眼的视线高度相一致。悬排式和柱式的环境信息标志牌的下缘距地面的高度不宜小于2m，局部信息标志设置高度视具体情况确定。</w:t>
            </w:r>
          </w:p>
        </w:tc>
        <w:tc>
          <w:tcPr>
            <w:tcW w:w="2271" w:type="dxa"/>
            <w:vAlign w:val="center"/>
          </w:tcPr>
          <w:p w14:paraId="21CD17EF">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《安全标志及其使用导则》</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（GB 2894-2008 ）</w:t>
            </w:r>
          </w:p>
          <w:p w14:paraId="573E72B7">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第8条</w:t>
            </w:r>
          </w:p>
        </w:tc>
        <w:tc>
          <w:tcPr>
            <w:tcW w:w="1808" w:type="dxa"/>
            <w:vAlign w:val="center"/>
          </w:tcPr>
          <w:p w14:paraId="0638127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该项目内的标志牌设置高度符合规范要求。</w:t>
            </w:r>
          </w:p>
        </w:tc>
        <w:tc>
          <w:tcPr>
            <w:tcW w:w="806" w:type="dxa"/>
            <w:vAlign w:val="center"/>
          </w:tcPr>
          <w:p w14:paraId="6A03465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116F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4434826C">
            <w:pPr>
              <w:numPr>
                <w:ilvl w:val="0"/>
                <w:numId w:val="13"/>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51A69C8">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标志牌不应设在门、窗、架等可移动的物体上，以免标志牌随母体物体相应移动，影响认读，标志牌前不得放置妨碍认读的障碍物。</w:t>
            </w:r>
          </w:p>
        </w:tc>
        <w:tc>
          <w:tcPr>
            <w:tcW w:w="2271" w:type="dxa"/>
            <w:vAlign w:val="center"/>
          </w:tcPr>
          <w:p w14:paraId="14168ADD">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0F761093">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第9.1条</w:t>
            </w:r>
          </w:p>
        </w:tc>
        <w:tc>
          <w:tcPr>
            <w:tcW w:w="1808" w:type="dxa"/>
            <w:vAlign w:val="center"/>
          </w:tcPr>
          <w:p w14:paraId="1644EAA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该项目内的标志牌未设置在可移动的物体上，均固定牢靠。</w:t>
            </w:r>
          </w:p>
        </w:tc>
        <w:tc>
          <w:tcPr>
            <w:tcW w:w="806" w:type="dxa"/>
            <w:vAlign w:val="center"/>
          </w:tcPr>
          <w:p w14:paraId="0BDB40E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BEB4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AD36953">
            <w:pPr>
              <w:numPr>
                <w:ilvl w:val="0"/>
                <w:numId w:val="13"/>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7B1BC711">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安全标志牌至少每半年检查一次，如发现有破损、变形、褪色等不符合要求时,应及时修正或更换。</w:t>
            </w:r>
          </w:p>
        </w:tc>
        <w:tc>
          <w:tcPr>
            <w:tcW w:w="2271" w:type="dxa"/>
            <w:vAlign w:val="center"/>
          </w:tcPr>
          <w:p w14:paraId="7E0275B1">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46F4A35B">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第10.1条</w:t>
            </w:r>
          </w:p>
        </w:tc>
        <w:tc>
          <w:tcPr>
            <w:tcW w:w="1808" w:type="dxa"/>
            <w:vAlign w:val="center"/>
          </w:tcPr>
          <w:p w14:paraId="2A390A59">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w:t>
            </w:r>
            <w:r>
              <w:rPr>
                <w:rFonts w:hint="eastAsia" w:ascii="宋体" w:hAnsi="宋体" w:eastAsia="宋体" w:cs="宋体"/>
                <w:color w:val="000000" w:themeColor="text1"/>
                <w:sz w:val="21"/>
                <w:szCs w:val="21"/>
                <w:lang w:val="en-US" w:eastAsia="zh-CN"/>
                <w14:textFill>
                  <w14:solidFill>
                    <w14:schemeClr w14:val="tx1"/>
                  </w14:solidFill>
                </w14:textFill>
              </w:rPr>
              <w:t>生产区</w:t>
            </w:r>
            <w:r>
              <w:rPr>
                <w:rFonts w:hint="eastAsia" w:ascii="宋体" w:hAnsi="宋体" w:eastAsia="宋体" w:cs="宋体"/>
                <w:color w:val="000000" w:themeColor="text1"/>
                <w:sz w:val="21"/>
                <w:szCs w:val="21"/>
                <w14:textFill>
                  <w14:solidFill>
                    <w14:schemeClr w14:val="tx1"/>
                  </w14:solidFill>
                </w14:textFill>
              </w:rPr>
              <w:t>安全标志牌符合要求。</w:t>
            </w:r>
          </w:p>
        </w:tc>
        <w:tc>
          <w:tcPr>
            <w:tcW w:w="806" w:type="dxa"/>
            <w:vAlign w:val="center"/>
          </w:tcPr>
          <w:p w14:paraId="2FBE9AD6">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BF2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970" w:type="dxa"/>
            <w:gridSpan w:val="5"/>
            <w:vAlign w:val="center"/>
          </w:tcPr>
          <w:p w14:paraId="3BE4CA0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固定式钢直梯</w:t>
            </w:r>
          </w:p>
        </w:tc>
      </w:tr>
      <w:tr w14:paraId="46855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9DCB2F2">
            <w:pPr>
              <w:numPr>
                <w:ilvl w:val="0"/>
                <w:numId w:val="13"/>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BBB77FA">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钢直梯应与其固定的结构表明平行并尽可能垂直水平面设置。</w:t>
            </w:r>
          </w:p>
        </w:tc>
        <w:tc>
          <w:tcPr>
            <w:tcW w:w="2271" w:type="dxa"/>
            <w:vAlign w:val="center"/>
          </w:tcPr>
          <w:p w14:paraId="2FF909E4">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4284B70C">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199EF6C2">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第4.2条</w:t>
            </w:r>
          </w:p>
        </w:tc>
        <w:tc>
          <w:tcPr>
            <w:tcW w:w="1808" w:type="dxa"/>
            <w:vAlign w:val="center"/>
          </w:tcPr>
          <w:p w14:paraId="680905F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该项目中脱硫塔设置的直梯符合要求。</w:t>
            </w:r>
          </w:p>
        </w:tc>
        <w:tc>
          <w:tcPr>
            <w:tcW w:w="806" w:type="dxa"/>
            <w:vAlign w:val="center"/>
          </w:tcPr>
          <w:p w14:paraId="7E5487E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0C5E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742E094">
            <w:pPr>
              <w:numPr>
                <w:ilvl w:val="0"/>
                <w:numId w:val="13"/>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0E9D1F6">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钢直梯应采用焊接连接，焊接要求应符合GB50205的规定。采用其他方式连接时，连接强度应不低于焊接。安装后的梯子不应有歪斜、扭曲、变形及其他缺陷。</w:t>
            </w:r>
          </w:p>
        </w:tc>
        <w:tc>
          <w:tcPr>
            <w:tcW w:w="2271" w:type="dxa"/>
            <w:vAlign w:val="center"/>
          </w:tcPr>
          <w:p w14:paraId="50C1EEB3">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237049BA">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15D2F333">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第4.4.1条</w:t>
            </w:r>
          </w:p>
        </w:tc>
        <w:tc>
          <w:tcPr>
            <w:tcW w:w="1808" w:type="dxa"/>
            <w:vAlign w:val="center"/>
          </w:tcPr>
          <w:p w14:paraId="49EF468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钢直梯</w:t>
            </w:r>
            <w:r>
              <w:rPr>
                <w:rFonts w:hint="eastAsia" w:ascii="宋体" w:hAnsi="宋体" w:eastAsia="宋体" w:cs="宋体"/>
                <w:color w:val="000000" w:themeColor="text1"/>
                <w:sz w:val="21"/>
                <w:szCs w:val="21"/>
                <w14:textFill>
                  <w14:solidFill>
                    <w14:schemeClr w14:val="tx1"/>
                  </w14:solidFill>
                </w14:textFill>
              </w:rPr>
              <w:t>采用焊接，现场查看时未发现明显缺陷。</w:t>
            </w:r>
          </w:p>
        </w:tc>
        <w:tc>
          <w:tcPr>
            <w:tcW w:w="806" w:type="dxa"/>
            <w:vAlign w:val="center"/>
          </w:tcPr>
          <w:p w14:paraId="64E8D67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B9A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F8EA611">
            <w:pPr>
              <w:numPr>
                <w:ilvl w:val="0"/>
                <w:numId w:val="13"/>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866F534">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制造安装工艺应确保梯子及其所有部件的表面光滑、无锐边、尖角、毛刺或其他可能对梯子使用者造成伤害或妨碍其通过的外部缺陷。</w:t>
            </w:r>
          </w:p>
        </w:tc>
        <w:tc>
          <w:tcPr>
            <w:tcW w:w="2271" w:type="dxa"/>
            <w:vAlign w:val="center"/>
          </w:tcPr>
          <w:p w14:paraId="67F3BDDF">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450A24F6">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6CD8991D">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第4.4.2条</w:t>
            </w:r>
          </w:p>
        </w:tc>
        <w:tc>
          <w:tcPr>
            <w:tcW w:w="1808" w:type="dxa"/>
            <w:vAlign w:val="center"/>
          </w:tcPr>
          <w:p w14:paraId="0C50CB5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楼梯表面光滑、无锐边、尖角、等外部缺陷。</w:t>
            </w:r>
          </w:p>
        </w:tc>
        <w:tc>
          <w:tcPr>
            <w:tcW w:w="806" w:type="dxa"/>
            <w:vAlign w:val="center"/>
          </w:tcPr>
          <w:p w14:paraId="58009E0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59E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9CF2155">
            <w:pPr>
              <w:numPr>
                <w:ilvl w:val="0"/>
                <w:numId w:val="13"/>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6D8CF80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根据钢直梯使用场合及环境条件，应对梯子进行合适的防锈及防腐涂装。</w:t>
            </w:r>
          </w:p>
        </w:tc>
        <w:tc>
          <w:tcPr>
            <w:tcW w:w="2271" w:type="dxa"/>
            <w:vAlign w:val="center"/>
          </w:tcPr>
          <w:p w14:paraId="6E41A068">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0CE230BC">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38CA818B">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第4.5.2条</w:t>
            </w:r>
          </w:p>
        </w:tc>
        <w:tc>
          <w:tcPr>
            <w:tcW w:w="1808" w:type="dxa"/>
            <w:vAlign w:val="center"/>
          </w:tcPr>
          <w:p w14:paraId="098C4424">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通过现场检查，该项目的钢直梯进行了防腐油漆。</w:t>
            </w:r>
          </w:p>
        </w:tc>
        <w:tc>
          <w:tcPr>
            <w:tcW w:w="806" w:type="dxa"/>
            <w:vAlign w:val="center"/>
          </w:tcPr>
          <w:p w14:paraId="2880F6E2">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FE5F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4E36CCE8">
            <w:pPr>
              <w:numPr>
                <w:ilvl w:val="0"/>
                <w:numId w:val="13"/>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0B994A55">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在持续潮湿条件下使用的梯子,建议进行热镀锌,或采用特殊涂层或采用耐腐蚀材料。</w:t>
            </w:r>
          </w:p>
        </w:tc>
        <w:tc>
          <w:tcPr>
            <w:tcW w:w="2271" w:type="dxa"/>
            <w:vAlign w:val="center"/>
          </w:tcPr>
          <w:p w14:paraId="5C889F50">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31D24815">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291BFCCF">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第4.5.4条</w:t>
            </w:r>
          </w:p>
        </w:tc>
        <w:tc>
          <w:tcPr>
            <w:tcW w:w="1808" w:type="dxa"/>
            <w:vAlign w:val="center"/>
          </w:tcPr>
          <w:p w14:paraId="6D59291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通过现场检查，该项目的钢直梯进行了防腐涂装。</w:t>
            </w:r>
          </w:p>
        </w:tc>
        <w:tc>
          <w:tcPr>
            <w:tcW w:w="806" w:type="dxa"/>
            <w:vAlign w:val="center"/>
          </w:tcPr>
          <w:p w14:paraId="1603601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D440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970" w:type="dxa"/>
            <w:gridSpan w:val="5"/>
            <w:vAlign w:val="center"/>
          </w:tcPr>
          <w:p w14:paraId="3899F6E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固定式钢斜梯</w:t>
            </w:r>
          </w:p>
        </w:tc>
      </w:tr>
      <w:tr w14:paraId="45A3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A028F5B">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EDD161B">
            <w:pPr>
              <w:tabs>
                <w:tab w:val="left" w:pos="2898"/>
              </w:tabs>
              <w:autoSpaceDE w:val="0"/>
              <w:autoSpaceDN w:val="0"/>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采用的钢材力学性能不应低于Q235-B，并具有含碳量合格保证。</w:t>
            </w:r>
          </w:p>
        </w:tc>
        <w:tc>
          <w:tcPr>
            <w:tcW w:w="2271" w:type="dxa"/>
            <w:vAlign w:val="center"/>
          </w:tcPr>
          <w:p w14:paraId="089F5DDE">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第2部分：钢斜梯</w:t>
            </w:r>
            <w:r>
              <w:rPr>
                <w:rFonts w:hint="eastAsia" w:ascii="宋体" w:hAnsi="宋体" w:eastAsia="宋体" w:cs="宋体"/>
                <w:color w:val="000000" w:themeColor="text1"/>
                <w:kern w:val="0"/>
                <w:sz w:val="21"/>
                <w:szCs w:val="21"/>
                <w14:textFill>
                  <w14:solidFill>
                    <w14:schemeClr w14:val="tx1"/>
                  </w14:solidFill>
                </w14:textFill>
              </w:rPr>
              <w:t>》</w:t>
            </w:r>
          </w:p>
          <w:p w14:paraId="24D44F18">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0544A2CD">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第4.1条</w:t>
            </w:r>
          </w:p>
        </w:tc>
        <w:tc>
          <w:tcPr>
            <w:tcW w:w="1808" w:type="dxa"/>
            <w:vAlign w:val="center"/>
          </w:tcPr>
          <w:p w14:paraId="1CE84D86">
            <w:pPr>
              <w:tabs>
                <w:tab w:val="left" w:pos="2898"/>
              </w:tabs>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该项目采用的钢材符合相关的要求。</w:t>
            </w:r>
          </w:p>
        </w:tc>
        <w:tc>
          <w:tcPr>
            <w:tcW w:w="806" w:type="dxa"/>
            <w:vAlign w:val="center"/>
          </w:tcPr>
          <w:p w14:paraId="58A3F579">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CAAA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CAB5D02">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271FC48">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钢斜梯应采用焊接连接。</w:t>
            </w:r>
          </w:p>
        </w:tc>
        <w:tc>
          <w:tcPr>
            <w:tcW w:w="2271" w:type="dxa"/>
            <w:vAlign w:val="center"/>
          </w:tcPr>
          <w:p w14:paraId="57F7BB12">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25D7B095">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54"/>
                <w:rFonts w:hint="eastAsia" w:ascii="宋体" w:hAnsi="宋体" w:eastAsia="宋体" w:cs="宋体"/>
                <w:b w:val="0"/>
                <w:color w:val="000000" w:themeColor="text1"/>
                <w:sz w:val="21"/>
                <w:szCs w:val="21"/>
                <w14:textFill>
                  <w14:solidFill>
                    <w14:schemeClr w14:val="tx1"/>
                  </w14:solidFill>
                </w14:textFill>
              </w:rPr>
              <w:t>（GB 4053.2-2009）</w:t>
            </w:r>
          </w:p>
          <w:p w14:paraId="0AE37D8F">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第4.4.1条</w:t>
            </w:r>
          </w:p>
        </w:tc>
        <w:tc>
          <w:tcPr>
            <w:tcW w:w="1808" w:type="dxa"/>
            <w:vAlign w:val="center"/>
          </w:tcPr>
          <w:p w14:paraId="7240E67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项目的钢斜梯采用焊接连接。</w:t>
            </w:r>
          </w:p>
        </w:tc>
        <w:tc>
          <w:tcPr>
            <w:tcW w:w="806" w:type="dxa"/>
            <w:vAlign w:val="center"/>
          </w:tcPr>
          <w:p w14:paraId="19ED5436">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8E02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84D4525">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F30D7F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制造安装工艺应确保梯子及其所有构件的表面光滑、无锐边、尖角、毛刺或其他可能对梯子使用者造成伤害或者妨碍其通过的外部缺陷。</w:t>
            </w:r>
          </w:p>
        </w:tc>
        <w:tc>
          <w:tcPr>
            <w:tcW w:w="2271" w:type="dxa"/>
            <w:vAlign w:val="center"/>
          </w:tcPr>
          <w:p w14:paraId="21AAD988">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2D8908D3">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54"/>
                <w:rFonts w:hint="eastAsia" w:ascii="宋体" w:hAnsi="宋体" w:eastAsia="宋体" w:cs="宋体"/>
                <w:b w:val="0"/>
                <w:color w:val="000000" w:themeColor="text1"/>
                <w:sz w:val="21"/>
                <w:szCs w:val="21"/>
                <w14:textFill>
                  <w14:solidFill>
                    <w14:schemeClr w14:val="tx1"/>
                  </w14:solidFill>
                </w14:textFill>
              </w:rPr>
              <w:t>（GB 4053.2-2009）</w:t>
            </w:r>
          </w:p>
          <w:p w14:paraId="7EEEE525">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第4.4.2条</w:t>
            </w:r>
          </w:p>
        </w:tc>
        <w:tc>
          <w:tcPr>
            <w:tcW w:w="1808" w:type="dxa"/>
            <w:vAlign w:val="center"/>
          </w:tcPr>
          <w:p w14:paraId="67E33FF0">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项目内的钢斜梯符合相关要求。</w:t>
            </w:r>
          </w:p>
        </w:tc>
        <w:tc>
          <w:tcPr>
            <w:tcW w:w="806" w:type="dxa"/>
            <w:vAlign w:val="center"/>
          </w:tcPr>
          <w:p w14:paraId="4AC2642F">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80AC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EC9A83D">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EE4C17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根据钢斜梯使用场合及环境条件,应对梯子进行合适的防锈及防腐涂装。</w:t>
            </w:r>
          </w:p>
        </w:tc>
        <w:tc>
          <w:tcPr>
            <w:tcW w:w="2271" w:type="dxa"/>
            <w:vAlign w:val="center"/>
          </w:tcPr>
          <w:p w14:paraId="0DE64A03">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2E16974C">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54"/>
                <w:rFonts w:hint="eastAsia" w:ascii="宋体" w:hAnsi="宋体" w:eastAsia="宋体" w:cs="宋体"/>
                <w:b w:val="0"/>
                <w:color w:val="000000" w:themeColor="text1"/>
                <w:sz w:val="21"/>
                <w:szCs w:val="21"/>
                <w14:textFill>
                  <w14:solidFill>
                    <w14:schemeClr w14:val="tx1"/>
                  </w14:solidFill>
                </w14:textFill>
              </w:rPr>
              <w:t>（GB 4053.2-2009）</w:t>
            </w:r>
          </w:p>
          <w:p w14:paraId="0C95C99A">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第4.5.2条</w:t>
            </w:r>
          </w:p>
        </w:tc>
        <w:tc>
          <w:tcPr>
            <w:tcW w:w="1808" w:type="dxa"/>
            <w:vAlign w:val="center"/>
          </w:tcPr>
          <w:p w14:paraId="5443FB35">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项目内的钢斜梯均进行了相关的防锈及防腐涂装。</w:t>
            </w:r>
          </w:p>
        </w:tc>
        <w:tc>
          <w:tcPr>
            <w:tcW w:w="806" w:type="dxa"/>
            <w:vAlign w:val="center"/>
          </w:tcPr>
          <w:p w14:paraId="6619E19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4A00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C23FFE9">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567147A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在室外安装的钢斜梯和连按部分的防雷电保护,连接和接地附件应符合相关要求。</w:t>
            </w:r>
          </w:p>
        </w:tc>
        <w:tc>
          <w:tcPr>
            <w:tcW w:w="2271" w:type="dxa"/>
            <w:vAlign w:val="center"/>
          </w:tcPr>
          <w:p w14:paraId="0F860C65">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69AD3E0F">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54"/>
                <w:rFonts w:hint="eastAsia" w:ascii="宋体" w:hAnsi="宋体" w:eastAsia="宋体" w:cs="宋体"/>
                <w:b w:val="0"/>
                <w:color w:val="000000" w:themeColor="text1"/>
                <w:sz w:val="21"/>
                <w:szCs w:val="21"/>
                <w14:textFill>
                  <w14:solidFill>
                    <w14:schemeClr w14:val="tx1"/>
                  </w14:solidFill>
                </w14:textFill>
              </w:rPr>
              <w:t>（GB 4053.2-2009）</w:t>
            </w:r>
          </w:p>
          <w:p w14:paraId="6D13EFA3">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第4.6条</w:t>
            </w:r>
          </w:p>
        </w:tc>
        <w:tc>
          <w:tcPr>
            <w:tcW w:w="1808" w:type="dxa"/>
            <w:vAlign w:val="center"/>
          </w:tcPr>
          <w:p w14:paraId="42B5500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项目内的钢斜梯均设置了相应的防雷电保护设施。</w:t>
            </w:r>
          </w:p>
        </w:tc>
        <w:tc>
          <w:tcPr>
            <w:tcW w:w="806" w:type="dxa"/>
            <w:vAlign w:val="center"/>
          </w:tcPr>
          <w:p w14:paraId="5782DD4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BF5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8424EDD">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112CEF9">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扶手应沿其整个长度方向上连续可抓握。</w:t>
            </w:r>
          </w:p>
        </w:tc>
        <w:tc>
          <w:tcPr>
            <w:tcW w:w="2271" w:type="dxa"/>
            <w:vAlign w:val="center"/>
          </w:tcPr>
          <w:p w14:paraId="7F1912F6">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5A102D26">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54"/>
                <w:rFonts w:hint="eastAsia" w:ascii="宋体" w:hAnsi="宋体" w:eastAsia="宋体" w:cs="宋体"/>
                <w:b w:val="0"/>
                <w:color w:val="000000" w:themeColor="text1"/>
                <w:sz w:val="21"/>
                <w:szCs w:val="21"/>
                <w14:textFill>
                  <w14:solidFill>
                    <w14:schemeClr w14:val="tx1"/>
                  </w14:solidFill>
                </w14:textFill>
              </w:rPr>
              <w:t>（GB 4053.2-2009）</w:t>
            </w:r>
          </w:p>
          <w:p w14:paraId="09DA1AB5">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第5.6.8条</w:t>
            </w:r>
          </w:p>
        </w:tc>
        <w:tc>
          <w:tcPr>
            <w:tcW w:w="1808" w:type="dxa"/>
            <w:vAlign w:val="center"/>
          </w:tcPr>
          <w:p w14:paraId="1977ED34">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该项目内钢斜梯的扶手符合要求。</w:t>
            </w:r>
          </w:p>
        </w:tc>
        <w:tc>
          <w:tcPr>
            <w:tcW w:w="806" w:type="dxa"/>
            <w:vAlign w:val="center"/>
          </w:tcPr>
          <w:p w14:paraId="62366FD3">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91D6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970" w:type="dxa"/>
            <w:gridSpan w:val="5"/>
            <w:vAlign w:val="center"/>
          </w:tcPr>
          <w:p w14:paraId="7EBE214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工业防护栏杆及钢平台</w:t>
            </w:r>
          </w:p>
        </w:tc>
      </w:tr>
      <w:tr w14:paraId="6DB34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66CA162">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72CA1426">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距下方相邻地板或地面1.2m 及以上的平台、通道或工作面的所有敞开边缘应设置防护栏杆。</w:t>
            </w:r>
          </w:p>
        </w:tc>
        <w:tc>
          <w:tcPr>
            <w:tcW w:w="2271" w:type="dxa"/>
            <w:vAlign w:val="center"/>
          </w:tcPr>
          <w:p w14:paraId="00BCEFF3">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w:t>
            </w:r>
            <w:r>
              <w:rPr>
                <w:rFonts w:hint="eastAsia" w:ascii="宋体" w:hAnsi="宋体" w:eastAsia="宋体" w:cs="宋体"/>
                <w:color w:val="000000" w:themeColor="text1"/>
                <w:kern w:val="0"/>
                <w:sz w:val="21"/>
                <w:szCs w:val="21"/>
                <w14:textFill>
                  <w14:solidFill>
                    <w14:schemeClr w14:val="tx1"/>
                  </w14:solidFill>
                </w14:textFill>
              </w:rPr>
              <w:t>工业防护栏杆及钢平台</w:t>
            </w:r>
            <w:r>
              <w:rPr>
                <w:rFonts w:hint="eastAsia" w:ascii="宋体" w:hAnsi="宋体" w:eastAsia="宋体" w:cs="宋体"/>
                <w:color w:val="000000" w:themeColor="text1"/>
                <w:sz w:val="21"/>
                <w:szCs w:val="21"/>
                <w14:textFill>
                  <w14:solidFill>
                    <w14:schemeClr w14:val="tx1"/>
                  </w14:solidFill>
                </w14:textFill>
              </w:rPr>
              <w:t>》</w:t>
            </w:r>
          </w:p>
          <w:p w14:paraId="20672DCC">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Style w:val="54"/>
                <w:rFonts w:hint="eastAsia" w:ascii="宋体" w:hAnsi="宋体" w:eastAsia="宋体" w:cs="宋体"/>
                <w:b w:val="0"/>
                <w:color w:val="000000" w:themeColor="text1"/>
                <w:sz w:val="21"/>
                <w:szCs w:val="21"/>
                <w14:textFill>
                  <w14:solidFill>
                    <w14:schemeClr w14:val="tx1"/>
                  </w14:solidFill>
                </w14:textFill>
              </w:rPr>
              <w:t>（GB 4053.3-2009）</w:t>
            </w:r>
          </w:p>
          <w:p w14:paraId="547321BA">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第4.1.1条</w:t>
            </w:r>
          </w:p>
        </w:tc>
        <w:tc>
          <w:tcPr>
            <w:tcW w:w="1808" w:type="dxa"/>
            <w:vAlign w:val="center"/>
          </w:tcPr>
          <w:p w14:paraId="715BB780">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平台设置了防护栏杆。</w:t>
            </w:r>
          </w:p>
        </w:tc>
        <w:tc>
          <w:tcPr>
            <w:tcW w:w="806" w:type="dxa"/>
            <w:vAlign w:val="center"/>
          </w:tcPr>
          <w:p w14:paraId="5F7BDFBF">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39C9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3A8914E8">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tcPr>
          <w:p w14:paraId="33FB9CDD">
            <w:pPr>
              <w:tabs>
                <w:tab w:val="left" w:pos="2898"/>
              </w:tabs>
              <w:adjustRightInd w:val="0"/>
              <w:snapToGrid w:val="0"/>
              <w:spacing w:line="300" w:lineRule="exact"/>
              <w:outlineLvl w:val="0"/>
              <w:rPr>
                <w:rFonts w:hint="eastAsia" w:ascii="宋体" w:hAnsi="宋体" w:eastAsia="宋体" w:cs="宋体"/>
                <w:color w:val="000000" w:themeColor="text1"/>
                <w:kern w:val="0"/>
                <w:sz w:val="21"/>
                <w:szCs w:val="21"/>
                <w14:textFill>
                  <w14:solidFill>
                    <w14:schemeClr w14:val="tx1"/>
                  </w14:solidFill>
                </w14:textFill>
              </w:rPr>
            </w:pPr>
            <w:bookmarkStart w:id="724" w:name="_Toc532"/>
            <w:bookmarkStart w:id="725" w:name="_Toc20226"/>
            <w:bookmarkStart w:id="726" w:name="_Toc12967"/>
            <w:bookmarkStart w:id="727" w:name="_Toc9402"/>
            <w:bookmarkStart w:id="728" w:name="_Toc12194"/>
            <w:bookmarkStart w:id="729" w:name="_Toc27337"/>
            <w:bookmarkStart w:id="730" w:name="_Toc30564"/>
            <w:bookmarkStart w:id="731" w:name="_Toc30641"/>
            <w:bookmarkStart w:id="732" w:name="_Toc5942"/>
            <w:bookmarkStart w:id="733" w:name="_Toc26173"/>
            <w:bookmarkStart w:id="734" w:name="_Toc2892"/>
            <w:bookmarkStart w:id="735" w:name="_Toc8677"/>
            <w:bookmarkStart w:id="736" w:name="_Toc22279"/>
            <w:bookmarkStart w:id="737" w:name="_Toc1708"/>
            <w:bookmarkStart w:id="738" w:name="_Toc728"/>
            <w:r>
              <w:rPr>
                <w:rFonts w:hint="eastAsia" w:ascii="宋体" w:hAnsi="宋体" w:eastAsia="宋体" w:cs="宋体"/>
                <w:color w:val="000000" w:themeColor="text1"/>
                <w:kern w:val="0"/>
                <w:sz w:val="21"/>
                <w:szCs w:val="21"/>
                <w14:textFill>
                  <w14:solidFill>
                    <w14:schemeClr w14:val="tx1"/>
                  </w14:solidFill>
                </w14:textFill>
              </w:rPr>
              <w:t>防护栏杆及钢平台应采用焊接连接，焊接要求应符合GB 50205 的规定。</w:t>
            </w:r>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p>
          <w:p w14:paraId="1B1A95FA">
            <w:pPr>
              <w:tabs>
                <w:tab w:val="left" w:pos="2898"/>
              </w:tabs>
              <w:adjustRightInd w:val="0"/>
              <w:snapToGrid w:val="0"/>
              <w:spacing w:line="300" w:lineRule="exact"/>
              <w:outlineLvl w:val="0"/>
              <w:rPr>
                <w:rFonts w:hint="eastAsia" w:ascii="宋体" w:hAnsi="宋体" w:eastAsia="宋体" w:cs="宋体"/>
                <w:color w:val="000000" w:themeColor="text1"/>
                <w:kern w:val="0"/>
                <w:sz w:val="21"/>
                <w:szCs w:val="21"/>
                <w14:textFill>
                  <w14:solidFill>
                    <w14:schemeClr w14:val="tx1"/>
                  </w14:solidFill>
                </w14:textFill>
              </w:rPr>
            </w:pPr>
            <w:bookmarkStart w:id="739" w:name="_Toc12075"/>
            <w:bookmarkStart w:id="740" w:name="_Toc18355"/>
            <w:bookmarkStart w:id="741" w:name="_Toc20274"/>
            <w:bookmarkStart w:id="742" w:name="_Toc30638"/>
            <w:bookmarkStart w:id="743" w:name="_Toc23531"/>
            <w:bookmarkStart w:id="744" w:name="_Toc4823"/>
            <w:bookmarkStart w:id="745" w:name="_Toc1362"/>
            <w:bookmarkStart w:id="746" w:name="_Toc18729"/>
            <w:bookmarkStart w:id="747" w:name="_Toc13685"/>
            <w:bookmarkStart w:id="748" w:name="_Toc12547"/>
            <w:bookmarkStart w:id="749" w:name="_Toc5331"/>
            <w:bookmarkStart w:id="750" w:name="_Toc30759"/>
            <w:bookmarkStart w:id="751" w:name="_Toc20920"/>
            <w:bookmarkStart w:id="752" w:name="_Toc2131"/>
            <w:bookmarkStart w:id="753" w:name="_Toc1808"/>
            <w:r>
              <w:rPr>
                <w:rFonts w:hint="eastAsia" w:ascii="宋体" w:hAnsi="宋体" w:eastAsia="宋体" w:cs="宋体"/>
                <w:color w:val="000000" w:themeColor="text1"/>
                <w:kern w:val="0"/>
                <w:sz w:val="21"/>
                <w:szCs w:val="21"/>
                <w14:textFill>
                  <w14:solidFill>
                    <w14:schemeClr w14:val="tx1"/>
                  </w14:solidFill>
                </w14:textFill>
              </w:rPr>
              <w:t>当不便焊接时，可用螺栓连接，但应保证设计的结构强度。安装后的防护栏杆及钢平台不应有歪斜、扭曲、变形及其它缺陷。</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p>
        </w:tc>
        <w:tc>
          <w:tcPr>
            <w:tcW w:w="2271" w:type="dxa"/>
            <w:vAlign w:val="center"/>
          </w:tcPr>
          <w:p w14:paraId="02DA4C52">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w:t>
            </w:r>
            <w:r>
              <w:rPr>
                <w:rFonts w:hint="eastAsia" w:ascii="宋体" w:hAnsi="宋体" w:eastAsia="宋体" w:cs="宋体"/>
                <w:color w:val="000000" w:themeColor="text1"/>
                <w:kern w:val="0"/>
                <w:sz w:val="21"/>
                <w:szCs w:val="21"/>
                <w14:textFill>
                  <w14:solidFill>
                    <w14:schemeClr w14:val="tx1"/>
                  </w14:solidFill>
                </w14:textFill>
              </w:rPr>
              <w:t>工业防护栏杆及钢平台</w:t>
            </w:r>
            <w:r>
              <w:rPr>
                <w:rFonts w:hint="eastAsia" w:ascii="宋体" w:hAnsi="宋体" w:eastAsia="宋体" w:cs="宋体"/>
                <w:color w:val="000000" w:themeColor="text1"/>
                <w:sz w:val="21"/>
                <w:szCs w:val="21"/>
                <w14:textFill>
                  <w14:solidFill>
                    <w14:schemeClr w14:val="tx1"/>
                  </w14:solidFill>
                </w14:textFill>
              </w:rPr>
              <w:t>》</w:t>
            </w:r>
          </w:p>
          <w:p w14:paraId="709F6288">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Style w:val="54"/>
                <w:rFonts w:hint="eastAsia" w:ascii="宋体" w:hAnsi="宋体" w:eastAsia="宋体" w:cs="宋体"/>
                <w:b w:val="0"/>
                <w:color w:val="000000" w:themeColor="text1"/>
                <w:sz w:val="21"/>
                <w:szCs w:val="21"/>
                <w14:textFill>
                  <w14:solidFill>
                    <w14:schemeClr w14:val="tx1"/>
                  </w14:solidFill>
                </w14:textFill>
              </w:rPr>
              <w:t>（GB 4053.3-2009）</w:t>
            </w:r>
          </w:p>
          <w:p w14:paraId="2B3A0D8A">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第4.5.1条</w:t>
            </w:r>
          </w:p>
        </w:tc>
        <w:tc>
          <w:tcPr>
            <w:tcW w:w="1808" w:type="dxa"/>
            <w:vAlign w:val="center"/>
          </w:tcPr>
          <w:p w14:paraId="37FE76BD">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防护栏杆及钢平台采用焊接连接。</w:t>
            </w:r>
          </w:p>
        </w:tc>
        <w:tc>
          <w:tcPr>
            <w:tcW w:w="806" w:type="dxa"/>
            <w:vAlign w:val="center"/>
          </w:tcPr>
          <w:p w14:paraId="1C3E3ACF">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14F0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E845438">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6833D61D">
            <w:pPr>
              <w:tabs>
                <w:tab w:val="left" w:pos="2898"/>
              </w:tabs>
              <w:adjustRightInd w:val="0"/>
              <w:snapToGrid w:val="0"/>
              <w:spacing w:line="300" w:lineRule="exact"/>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防护栏杆制造安装工艺应确保所有构件及其连接部分表面光滑，无锐边、尖角、毛刺或其它可能对人员造成伤害或妨碍其通过的外部缺陷。</w:t>
            </w:r>
          </w:p>
        </w:tc>
        <w:tc>
          <w:tcPr>
            <w:tcW w:w="2271" w:type="dxa"/>
            <w:vAlign w:val="center"/>
          </w:tcPr>
          <w:p w14:paraId="5CE5A364">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w:t>
            </w:r>
            <w:r>
              <w:rPr>
                <w:rFonts w:hint="eastAsia" w:ascii="宋体" w:hAnsi="宋体" w:eastAsia="宋体" w:cs="宋体"/>
                <w:color w:val="000000" w:themeColor="text1"/>
                <w:kern w:val="0"/>
                <w:sz w:val="21"/>
                <w:szCs w:val="21"/>
                <w14:textFill>
                  <w14:solidFill>
                    <w14:schemeClr w14:val="tx1"/>
                  </w14:solidFill>
                </w14:textFill>
              </w:rPr>
              <w:t>工业防护栏杆及钢平台</w:t>
            </w:r>
            <w:r>
              <w:rPr>
                <w:rFonts w:hint="eastAsia" w:ascii="宋体" w:hAnsi="宋体" w:eastAsia="宋体" w:cs="宋体"/>
                <w:color w:val="000000" w:themeColor="text1"/>
                <w:sz w:val="21"/>
                <w:szCs w:val="21"/>
                <w14:textFill>
                  <w14:solidFill>
                    <w14:schemeClr w14:val="tx1"/>
                  </w14:solidFill>
                </w14:textFill>
              </w:rPr>
              <w:t>》</w:t>
            </w:r>
          </w:p>
          <w:p w14:paraId="47BE3B2A">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r>
              <w:rPr>
                <w:rStyle w:val="54"/>
                <w:rFonts w:hint="eastAsia" w:ascii="宋体" w:hAnsi="宋体" w:eastAsia="宋体" w:cs="宋体"/>
                <w:b w:val="0"/>
                <w:color w:val="000000" w:themeColor="text1"/>
                <w:sz w:val="21"/>
                <w:szCs w:val="21"/>
                <w14:textFill>
                  <w14:solidFill>
                    <w14:schemeClr w14:val="tx1"/>
                  </w14:solidFill>
                </w14:textFill>
              </w:rPr>
              <w:t>GB 4053.3-2009</w:t>
            </w:r>
            <w:r>
              <w:rPr>
                <w:rFonts w:hint="eastAsia" w:ascii="宋体" w:hAnsi="宋体" w:eastAsia="宋体" w:cs="宋体"/>
                <w:color w:val="000000" w:themeColor="text1"/>
                <w:sz w:val="21"/>
                <w:szCs w:val="21"/>
                <w14:textFill>
                  <w14:solidFill>
                    <w14:schemeClr w14:val="tx1"/>
                  </w14:solidFill>
                </w14:textFill>
              </w:rPr>
              <w:t>）</w:t>
            </w:r>
          </w:p>
          <w:p w14:paraId="757718CA">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第4.5.2条</w:t>
            </w:r>
          </w:p>
        </w:tc>
        <w:tc>
          <w:tcPr>
            <w:tcW w:w="1808" w:type="dxa"/>
            <w:vAlign w:val="center"/>
          </w:tcPr>
          <w:p w14:paraId="3192752D">
            <w:pPr>
              <w:tabs>
                <w:tab w:val="left" w:pos="2898"/>
              </w:tabs>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现场检查扶手无尖角、不光滑等外部缺陷。</w:t>
            </w:r>
          </w:p>
        </w:tc>
        <w:tc>
          <w:tcPr>
            <w:tcW w:w="806" w:type="dxa"/>
            <w:vAlign w:val="center"/>
          </w:tcPr>
          <w:p w14:paraId="03EAE4E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5448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47B2E02E">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76C78C75">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安装后的平台钢梁应平直，铺板应平整，不应有歪斜、翘曲、变形及其它缺陷。</w:t>
            </w:r>
          </w:p>
        </w:tc>
        <w:tc>
          <w:tcPr>
            <w:tcW w:w="2271" w:type="dxa"/>
            <w:vAlign w:val="center"/>
          </w:tcPr>
          <w:p w14:paraId="45583CE3">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w:t>
            </w:r>
            <w:r>
              <w:rPr>
                <w:rFonts w:hint="eastAsia" w:ascii="宋体" w:hAnsi="宋体" w:eastAsia="宋体" w:cs="宋体"/>
                <w:color w:val="000000" w:themeColor="text1"/>
                <w:kern w:val="0"/>
                <w:sz w:val="21"/>
                <w:szCs w:val="21"/>
                <w14:textFill>
                  <w14:solidFill>
                    <w14:schemeClr w14:val="tx1"/>
                  </w14:solidFill>
                </w14:textFill>
              </w:rPr>
              <w:t>工业防护栏杆及钢平台</w:t>
            </w:r>
            <w:r>
              <w:rPr>
                <w:rFonts w:hint="eastAsia" w:ascii="宋体" w:hAnsi="宋体" w:eastAsia="宋体" w:cs="宋体"/>
                <w:color w:val="000000" w:themeColor="text1"/>
                <w:sz w:val="21"/>
                <w:szCs w:val="21"/>
                <w14:textFill>
                  <w14:solidFill>
                    <w14:schemeClr w14:val="tx1"/>
                  </w14:solidFill>
                </w14:textFill>
              </w:rPr>
              <w:t>》</w:t>
            </w:r>
          </w:p>
          <w:p w14:paraId="0C06D2B3">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54"/>
                <w:rFonts w:hint="eastAsia" w:ascii="宋体" w:hAnsi="宋体" w:eastAsia="宋体" w:cs="宋体"/>
                <w:b w:val="0"/>
                <w:color w:val="000000" w:themeColor="text1"/>
                <w:sz w:val="21"/>
                <w:szCs w:val="21"/>
                <w14:textFill>
                  <w14:solidFill>
                    <w14:schemeClr w14:val="tx1"/>
                  </w14:solidFill>
                </w14:textFill>
              </w:rPr>
              <w:t>（GB 4053.3-2009）</w:t>
            </w:r>
          </w:p>
          <w:p w14:paraId="3641859E">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第4.5.4条</w:t>
            </w:r>
          </w:p>
        </w:tc>
        <w:tc>
          <w:tcPr>
            <w:tcW w:w="1808" w:type="dxa"/>
            <w:vAlign w:val="center"/>
          </w:tcPr>
          <w:p w14:paraId="6410B2AC">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现场检查时未发现平台存在明显缺陷。</w:t>
            </w:r>
          </w:p>
        </w:tc>
        <w:tc>
          <w:tcPr>
            <w:tcW w:w="806" w:type="dxa"/>
            <w:vAlign w:val="center"/>
          </w:tcPr>
          <w:p w14:paraId="0B960EC0">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B8BD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03DAC785">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EE7DBFC">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根据防护栏杆和钢平台使用场合及环境条件，应对其进行合适的防锈及防腐涂装。</w:t>
            </w:r>
          </w:p>
        </w:tc>
        <w:tc>
          <w:tcPr>
            <w:tcW w:w="2271" w:type="dxa"/>
            <w:vAlign w:val="center"/>
          </w:tcPr>
          <w:p w14:paraId="1F4C2777">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w:t>
            </w:r>
            <w:r>
              <w:rPr>
                <w:rFonts w:hint="eastAsia" w:ascii="宋体" w:hAnsi="宋体" w:eastAsia="宋体" w:cs="宋体"/>
                <w:color w:val="000000" w:themeColor="text1"/>
                <w:kern w:val="0"/>
                <w:sz w:val="21"/>
                <w:szCs w:val="21"/>
                <w14:textFill>
                  <w14:solidFill>
                    <w14:schemeClr w14:val="tx1"/>
                  </w14:solidFill>
                </w14:textFill>
              </w:rPr>
              <w:t>工业防护栏杆及钢平台</w:t>
            </w:r>
            <w:r>
              <w:rPr>
                <w:rFonts w:hint="eastAsia" w:ascii="宋体" w:hAnsi="宋体" w:eastAsia="宋体" w:cs="宋体"/>
                <w:color w:val="000000" w:themeColor="text1"/>
                <w:sz w:val="21"/>
                <w:szCs w:val="21"/>
                <w14:textFill>
                  <w14:solidFill>
                    <w14:schemeClr w14:val="tx1"/>
                  </w14:solidFill>
                </w14:textFill>
              </w:rPr>
              <w:t>》</w:t>
            </w:r>
          </w:p>
          <w:p w14:paraId="77F52FF1">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54"/>
                <w:rFonts w:hint="eastAsia" w:ascii="宋体" w:hAnsi="宋体" w:eastAsia="宋体" w:cs="宋体"/>
                <w:b w:val="0"/>
                <w:color w:val="000000" w:themeColor="text1"/>
                <w:sz w:val="21"/>
                <w:szCs w:val="21"/>
                <w14:textFill>
                  <w14:solidFill>
                    <w14:schemeClr w14:val="tx1"/>
                  </w14:solidFill>
                </w14:textFill>
              </w:rPr>
              <w:t>（GB 4053.3-2009）</w:t>
            </w:r>
          </w:p>
          <w:p w14:paraId="070DC9DF">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第4.6.2条</w:t>
            </w:r>
          </w:p>
        </w:tc>
        <w:tc>
          <w:tcPr>
            <w:tcW w:w="1808" w:type="dxa"/>
            <w:vAlign w:val="center"/>
          </w:tcPr>
          <w:p w14:paraId="45E79D9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项目的防护栏杆和钢平台进行了防腐涂装。</w:t>
            </w:r>
          </w:p>
        </w:tc>
        <w:tc>
          <w:tcPr>
            <w:tcW w:w="806" w:type="dxa"/>
            <w:vAlign w:val="center"/>
          </w:tcPr>
          <w:p w14:paraId="51229243">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F78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970" w:type="dxa"/>
            <w:gridSpan w:val="5"/>
            <w:vAlign w:val="center"/>
          </w:tcPr>
          <w:p w14:paraId="1976F8A9">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机械设备防护装置</w:t>
            </w:r>
          </w:p>
        </w:tc>
      </w:tr>
      <w:tr w14:paraId="44992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1A2B34F">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711696A">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在设计和应用防护装置时，应适当考虑在机器整个预期寿命期间的运行和可预见的机器环境方面的因素。对这些方面的考虑不当可能导致不安全或机器不能运行，以致人为的使防护装置失效，从而使人员暴露在更大的风险中。</w:t>
            </w:r>
          </w:p>
        </w:tc>
        <w:tc>
          <w:tcPr>
            <w:tcW w:w="2271" w:type="dxa"/>
            <w:vAlign w:val="center"/>
          </w:tcPr>
          <w:p w14:paraId="294DAA44">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 防护装置固定式和活动式防护装置的设计与制造一般要求》</w:t>
            </w:r>
          </w:p>
          <w:p w14:paraId="5A29468F">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5F82289D">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第5.1.1条</w:t>
            </w:r>
          </w:p>
        </w:tc>
        <w:tc>
          <w:tcPr>
            <w:tcW w:w="1808" w:type="dxa"/>
            <w:vAlign w:val="center"/>
          </w:tcPr>
          <w:p w14:paraId="2B1F626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该项目的采用的防护装置均考虑了相关的因素。</w:t>
            </w:r>
          </w:p>
        </w:tc>
        <w:tc>
          <w:tcPr>
            <w:tcW w:w="806" w:type="dxa"/>
            <w:vAlign w:val="center"/>
          </w:tcPr>
          <w:p w14:paraId="732F71F9">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E65F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33FF0140">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6623A0C0">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在可行时,为尽可能减少进入危险区,防护装置和机械的设计应使得不用打开或拆卸防护装置就可进行例行的调整、润滑和维护。</w:t>
            </w:r>
          </w:p>
          <w:p w14:paraId="1BEF1724">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如果需要进入被防护区域，则应尽可能做到可自由、畅通无阻地进入。</w:t>
            </w:r>
          </w:p>
        </w:tc>
        <w:tc>
          <w:tcPr>
            <w:tcW w:w="2271" w:type="dxa"/>
            <w:vAlign w:val="center"/>
          </w:tcPr>
          <w:p w14:paraId="08D7A042">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 防护装置固定式和活动式防护装置的设计与制造一般要求》</w:t>
            </w:r>
          </w:p>
          <w:p w14:paraId="149A0150">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34DC298F">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第5.1.2条</w:t>
            </w:r>
          </w:p>
        </w:tc>
        <w:tc>
          <w:tcPr>
            <w:tcW w:w="1808" w:type="dxa"/>
            <w:vAlign w:val="center"/>
          </w:tcPr>
          <w:p w14:paraId="64B5374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该项目的防护装置符合相关的要求。</w:t>
            </w:r>
          </w:p>
        </w:tc>
        <w:tc>
          <w:tcPr>
            <w:tcW w:w="806" w:type="dxa"/>
            <w:vAlign w:val="center"/>
          </w:tcPr>
          <w:p w14:paraId="7694BE3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DC52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8FC9541">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7CA0631">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对于用于防止进入危险区的防护装置，其设计、制造和定位应满足 ISO 13857，以防止人体各部位触及危险区。对联锁活动式防护装置，还应满足ISO 13855 的安全距离。</w:t>
            </w:r>
          </w:p>
        </w:tc>
        <w:tc>
          <w:tcPr>
            <w:tcW w:w="2271" w:type="dxa"/>
            <w:vAlign w:val="center"/>
          </w:tcPr>
          <w:p w14:paraId="1B4DB4FE">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 防护装置固定式和活动式防护装置的设计与制造一般要求》</w:t>
            </w:r>
          </w:p>
          <w:p w14:paraId="55525814">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5ADCF6B6">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第5.2.2条</w:t>
            </w:r>
          </w:p>
        </w:tc>
        <w:tc>
          <w:tcPr>
            <w:tcW w:w="1808" w:type="dxa"/>
            <w:vAlign w:val="center"/>
          </w:tcPr>
          <w:p w14:paraId="2B7FAD1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该项目的防护装置符合相关的要求。</w:t>
            </w:r>
          </w:p>
        </w:tc>
        <w:tc>
          <w:tcPr>
            <w:tcW w:w="806" w:type="dxa"/>
            <w:vAlign w:val="center"/>
          </w:tcPr>
          <w:p w14:paraId="0125717B">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F567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D6E2E93">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D518881">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连接牢固性：焊接、粘接或机械式紧固连接应有足够的强度，以承受正常的可预见的载荷。在使用粘接剂的场合，应使其与所采用的工艺和使用的材料相匹配。在使用机械紧固件的场合，其强度、数量和位置应足以保证防护装置的稳定性和刚度。</w:t>
            </w:r>
          </w:p>
        </w:tc>
        <w:tc>
          <w:tcPr>
            <w:tcW w:w="2271" w:type="dxa"/>
            <w:vAlign w:val="center"/>
          </w:tcPr>
          <w:p w14:paraId="738DB5F4">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2F9C7B4C">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2E5EA35B">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第5.3.8条</w:t>
            </w:r>
          </w:p>
        </w:tc>
        <w:tc>
          <w:tcPr>
            <w:tcW w:w="1808" w:type="dxa"/>
            <w:vAlign w:val="center"/>
          </w:tcPr>
          <w:p w14:paraId="292E454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该项目防护装置连接牢固性基本符合要求，现场检查时未发现明显缺陷。</w:t>
            </w:r>
          </w:p>
        </w:tc>
        <w:tc>
          <w:tcPr>
            <w:tcW w:w="806" w:type="dxa"/>
            <w:vAlign w:val="center"/>
          </w:tcPr>
          <w:p w14:paraId="2A8EDD8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2A87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47E60EE7">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531E96B5">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只能用工具拆卸：防护装置的可拆卸部件应只能借助工具才可以拆卸。</w:t>
            </w:r>
          </w:p>
        </w:tc>
        <w:tc>
          <w:tcPr>
            <w:tcW w:w="2271" w:type="dxa"/>
            <w:vAlign w:val="center"/>
          </w:tcPr>
          <w:p w14:paraId="14ED2B4A">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1F8DE85D">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1BFC1985">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第5.3.9条</w:t>
            </w:r>
          </w:p>
        </w:tc>
        <w:tc>
          <w:tcPr>
            <w:tcW w:w="1808" w:type="dxa"/>
            <w:vAlign w:val="center"/>
          </w:tcPr>
          <w:p w14:paraId="1DE9EE69">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该项目防护装置可拆卸部件设计符合相关要求。</w:t>
            </w:r>
          </w:p>
        </w:tc>
        <w:tc>
          <w:tcPr>
            <w:tcW w:w="806" w:type="dxa"/>
            <w:vAlign w:val="center"/>
          </w:tcPr>
          <w:p w14:paraId="529E5F7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DAC4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13EB934">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3FB3FCC">
            <w:pPr>
              <w:tabs>
                <w:tab w:val="left" w:pos="2898"/>
              </w:tabs>
              <w:autoSpaceDE w:val="0"/>
              <w:autoSpaceDN w:val="0"/>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对于带轮、传动带、齿轮、齿条齿轮和传动轴等运动的传动部件产生的危险,应采用固定式防护装置(见图 1)或联锁的活动式防护装置进行防护。</w:t>
            </w:r>
          </w:p>
        </w:tc>
        <w:tc>
          <w:tcPr>
            <w:tcW w:w="2271" w:type="dxa"/>
            <w:vAlign w:val="center"/>
          </w:tcPr>
          <w:p w14:paraId="459BA258">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2A616319">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133818FE">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第6.4.2条</w:t>
            </w:r>
          </w:p>
        </w:tc>
        <w:tc>
          <w:tcPr>
            <w:tcW w:w="1808" w:type="dxa"/>
            <w:vAlign w:val="center"/>
          </w:tcPr>
          <w:p w14:paraId="6EE40C85">
            <w:pPr>
              <w:tabs>
                <w:tab w:val="left" w:pos="2898"/>
              </w:tabs>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该项目的转动或传动机械设备部位设置了机械防护装置。</w:t>
            </w:r>
          </w:p>
        </w:tc>
        <w:tc>
          <w:tcPr>
            <w:tcW w:w="806" w:type="dxa"/>
            <w:vAlign w:val="center"/>
          </w:tcPr>
          <w:p w14:paraId="41BF23F5">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ECFE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051F111F">
            <w:pPr>
              <w:numPr>
                <w:ilvl w:val="0"/>
                <w:numId w:val="13"/>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93E1BC0">
            <w:pPr>
              <w:tabs>
                <w:tab w:val="left" w:pos="2898"/>
              </w:tabs>
              <w:autoSpaceDE w:val="0"/>
              <w:autoSpaceDN w:val="0"/>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车间的地面应平坦、不打滑。</w:t>
            </w:r>
          </w:p>
        </w:tc>
        <w:tc>
          <w:tcPr>
            <w:tcW w:w="2271" w:type="dxa"/>
            <w:vAlign w:val="center"/>
          </w:tcPr>
          <w:p w14:paraId="311CC757">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《机械工业职业安全卫生设计规范》</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（JBJ 18-2000）</w:t>
            </w:r>
          </w:p>
          <w:p w14:paraId="3402A8E0">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第3.1.4条</w:t>
            </w:r>
          </w:p>
        </w:tc>
        <w:tc>
          <w:tcPr>
            <w:tcW w:w="1808" w:type="dxa"/>
            <w:vAlign w:val="center"/>
          </w:tcPr>
          <w:p w14:paraId="6FE01E2A">
            <w:pPr>
              <w:tabs>
                <w:tab w:val="left" w:pos="2898"/>
              </w:tabs>
              <w:autoSpaceDE w:val="0"/>
              <w:autoSpaceDN w:val="0"/>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该项目车间地面平坦、不打滑。</w:t>
            </w:r>
          </w:p>
        </w:tc>
        <w:tc>
          <w:tcPr>
            <w:tcW w:w="806" w:type="dxa"/>
            <w:vAlign w:val="center"/>
          </w:tcPr>
          <w:p w14:paraId="3AD7F5E7">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16E8BEE7">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754" w:name="_Toc5267"/>
      <w:bookmarkStart w:id="755" w:name="_Toc16943"/>
      <w:bookmarkStart w:id="756" w:name="_Toc5797"/>
      <w:bookmarkStart w:id="757" w:name="_Toc7605"/>
      <w:bookmarkStart w:id="758" w:name="_Toc30001449"/>
      <w:bookmarkStart w:id="759" w:name="_Toc61474472"/>
      <w:bookmarkStart w:id="760" w:name="_Toc11760"/>
      <w:r>
        <w:rPr>
          <w:rFonts w:hint="default" w:ascii="Times New Roman" w:hAnsi="Times New Roman" w:eastAsia="黑体" w:cs="Times New Roman"/>
          <w:color w:val="000000" w:themeColor="text1"/>
          <w:lang w:val="en-US" w:eastAsia="zh-CN"/>
          <w14:textFill>
            <w14:solidFill>
              <w14:schemeClr w14:val="tx1"/>
            </w14:solidFill>
          </w14:textFill>
        </w:rPr>
        <w:t>5.3.2防雷、防静电安全评价子单元安全检查表</w:t>
      </w:r>
      <w:bookmarkEnd w:id="754"/>
      <w:bookmarkEnd w:id="755"/>
      <w:bookmarkEnd w:id="756"/>
      <w:bookmarkEnd w:id="757"/>
    </w:p>
    <w:p w14:paraId="79F07344">
      <w:pPr>
        <w:spacing w:line="500" w:lineRule="exact"/>
        <w:ind w:firstLine="560" w:firstLineChars="200"/>
        <w:jc w:val="lef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根据</w:t>
      </w:r>
      <w:r>
        <w:rPr>
          <w:rFonts w:hint="eastAsia"/>
          <w:color w:val="000000" w:themeColor="text1"/>
          <w:kern w:val="0"/>
          <w:sz w:val="28"/>
          <w:szCs w:val="28"/>
          <w14:textFill>
            <w14:solidFill>
              <w14:schemeClr w14:val="tx1"/>
            </w14:solidFill>
          </w14:textFill>
        </w:rPr>
        <w:t>《建筑物防雷设计规范》（</w:t>
      </w:r>
      <w:r>
        <w:rPr>
          <w:color w:val="000000" w:themeColor="text1"/>
          <w:kern w:val="0"/>
          <w:sz w:val="28"/>
          <w:szCs w:val="28"/>
          <w14:textFill>
            <w14:solidFill>
              <w14:schemeClr w14:val="tx1"/>
            </w14:solidFill>
          </w14:textFill>
        </w:rPr>
        <w:t>GB50057-2010</w:t>
      </w:r>
      <w:r>
        <w:rPr>
          <w:rFonts w:hint="eastAsia"/>
          <w:color w:val="000000" w:themeColor="text1"/>
          <w:kern w:val="0"/>
          <w:sz w:val="28"/>
          <w:szCs w:val="28"/>
          <w14:textFill>
            <w14:solidFill>
              <w14:schemeClr w14:val="tx1"/>
            </w14:solidFill>
          </w14:textFill>
        </w:rPr>
        <w:t>）、《生产设备安全卫生设计总则》（GB5083-2023）、《防止静电事故通用导则》（</w:t>
      </w:r>
      <w:r>
        <w:rPr>
          <w:color w:val="000000" w:themeColor="text1"/>
          <w:kern w:val="0"/>
          <w:sz w:val="28"/>
          <w:szCs w:val="28"/>
          <w14:textFill>
            <w14:solidFill>
              <w14:schemeClr w14:val="tx1"/>
            </w14:solidFill>
          </w14:textFill>
        </w:rPr>
        <w:t>GB12158-2006</w:t>
      </w:r>
      <w:r>
        <w:rPr>
          <w:rFonts w:hint="eastAsia"/>
          <w:color w:val="000000" w:themeColor="text1"/>
          <w:kern w:val="0"/>
          <w:sz w:val="28"/>
          <w:szCs w:val="28"/>
          <w14:textFill>
            <w14:solidFill>
              <w14:schemeClr w14:val="tx1"/>
            </w14:solidFill>
          </w14:textFill>
        </w:rPr>
        <w:t>）</w:t>
      </w:r>
      <w:r>
        <w:rPr>
          <w:color w:val="000000" w:themeColor="text1"/>
          <w:kern w:val="0"/>
          <w:sz w:val="28"/>
          <w:szCs w:val="28"/>
          <w14:textFill>
            <w14:solidFill>
              <w14:schemeClr w14:val="tx1"/>
            </w14:solidFill>
          </w14:textFill>
        </w:rPr>
        <w:t>等标准、规范要求，对该项目区的防雷、防静电设施进行安全评价，具体情况见下表5-</w:t>
      </w:r>
      <w:r>
        <w:rPr>
          <w:rFonts w:hint="eastAsia"/>
          <w:color w:val="000000" w:themeColor="text1"/>
          <w:kern w:val="0"/>
          <w:sz w:val="28"/>
          <w:szCs w:val="28"/>
          <w:lang w:val="en-US" w:eastAsia="zh-CN"/>
          <w14:textFill>
            <w14:solidFill>
              <w14:schemeClr w14:val="tx1"/>
            </w14:solidFill>
          </w14:textFill>
        </w:rPr>
        <w:t>5</w:t>
      </w:r>
      <w:r>
        <w:rPr>
          <w:color w:val="000000" w:themeColor="text1"/>
          <w:kern w:val="0"/>
          <w:sz w:val="28"/>
          <w:szCs w:val="28"/>
          <w14:textFill>
            <w14:solidFill>
              <w14:schemeClr w14:val="tx1"/>
            </w14:solidFill>
          </w14:textFill>
        </w:rPr>
        <w:t>所示。</w:t>
      </w:r>
    </w:p>
    <w:p w14:paraId="1882DF42">
      <w:pPr>
        <w:pStyle w:val="19"/>
        <w:autoSpaceDE w:val="0"/>
        <w:autoSpaceDN w:val="0"/>
        <w:adjustRightInd w:val="0"/>
        <w:snapToGrid w:val="0"/>
        <w:spacing w:after="0" w:line="500" w:lineRule="exact"/>
        <w:ind w:left="0" w:leftChars="0" w:firstLine="482" w:firstLineChars="200"/>
        <w:jc w:val="center"/>
        <w:rPr>
          <w:snapToGrid w:val="0"/>
          <w:color w:val="000000" w:themeColor="text1"/>
          <w:kern w:val="0"/>
          <w:sz w:val="24"/>
          <w14:textFill>
            <w14:solidFill>
              <w14:schemeClr w14:val="tx1"/>
            </w14:solidFill>
          </w14:textFill>
        </w:rPr>
      </w:pPr>
      <w:r>
        <w:rPr>
          <w:b/>
          <w:bCs/>
          <w:color w:val="000000" w:themeColor="text1"/>
          <w:szCs w:val="21"/>
          <w14:textFill>
            <w14:solidFill>
              <w14:schemeClr w14:val="tx1"/>
            </w14:solidFill>
          </w14:textFill>
        </w:rPr>
        <w:t>表5-</w:t>
      </w:r>
      <w:r>
        <w:rPr>
          <w:rFonts w:hint="eastAsia"/>
          <w:b/>
          <w:bCs/>
          <w:color w:val="000000" w:themeColor="text1"/>
          <w:szCs w:val="21"/>
          <w:lang w:val="en-US" w:eastAsia="zh-CN"/>
          <w14:textFill>
            <w14:solidFill>
              <w14:schemeClr w14:val="tx1"/>
            </w14:solidFill>
          </w14:textFill>
        </w:rPr>
        <w:t xml:space="preserve">5 </w:t>
      </w:r>
      <w:r>
        <w:rPr>
          <w:b/>
          <w:bCs/>
          <w:color w:val="000000" w:themeColor="text1"/>
          <w:szCs w:val="21"/>
          <w14:textFill>
            <w14:solidFill>
              <w14:schemeClr w14:val="tx1"/>
            </w14:solidFill>
          </w14:textFill>
        </w:rPr>
        <w:t>防雷、防静电设施安全检查表</w:t>
      </w:r>
    </w:p>
    <w:tbl>
      <w:tblPr>
        <w:tblStyle w:val="51"/>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1"/>
        <w:gridCol w:w="2316"/>
        <w:gridCol w:w="1843"/>
        <w:gridCol w:w="3449"/>
        <w:gridCol w:w="1228"/>
      </w:tblGrid>
      <w:tr w14:paraId="0F51B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21" w:type="dxa"/>
            <w:vAlign w:val="center"/>
          </w:tcPr>
          <w:p w14:paraId="6FBB9BA6">
            <w:pPr>
              <w:autoSpaceDE w:val="0"/>
              <w:autoSpaceDN w:val="0"/>
              <w:adjustRightInd w:val="0"/>
              <w:snapToGrid w:val="0"/>
              <w:spacing w:line="30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2316" w:type="dxa"/>
            <w:vAlign w:val="center"/>
          </w:tcPr>
          <w:p w14:paraId="0B4F23BF">
            <w:pPr>
              <w:autoSpaceDE w:val="0"/>
              <w:autoSpaceDN w:val="0"/>
              <w:adjustRightInd w:val="0"/>
              <w:snapToGrid w:val="0"/>
              <w:spacing w:line="30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检查内容</w:t>
            </w:r>
          </w:p>
        </w:tc>
        <w:tc>
          <w:tcPr>
            <w:tcW w:w="1843" w:type="dxa"/>
            <w:vAlign w:val="center"/>
          </w:tcPr>
          <w:p w14:paraId="761B1459">
            <w:pPr>
              <w:autoSpaceDE w:val="0"/>
              <w:autoSpaceDN w:val="0"/>
              <w:adjustRightInd w:val="0"/>
              <w:snapToGrid w:val="0"/>
              <w:spacing w:line="30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检查依据</w:t>
            </w:r>
          </w:p>
        </w:tc>
        <w:tc>
          <w:tcPr>
            <w:tcW w:w="3449" w:type="dxa"/>
            <w:vAlign w:val="center"/>
          </w:tcPr>
          <w:p w14:paraId="07E8A2DB">
            <w:pPr>
              <w:autoSpaceDE w:val="0"/>
              <w:autoSpaceDN w:val="0"/>
              <w:adjustRightInd w:val="0"/>
              <w:snapToGrid w:val="0"/>
              <w:spacing w:line="30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检查记录</w:t>
            </w:r>
          </w:p>
        </w:tc>
        <w:tc>
          <w:tcPr>
            <w:tcW w:w="1228" w:type="dxa"/>
            <w:vAlign w:val="center"/>
          </w:tcPr>
          <w:p w14:paraId="02BC5D3D">
            <w:pPr>
              <w:autoSpaceDE w:val="0"/>
              <w:autoSpaceDN w:val="0"/>
              <w:adjustRightInd w:val="0"/>
              <w:snapToGrid w:val="0"/>
              <w:spacing w:line="30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检查结果</w:t>
            </w:r>
          </w:p>
        </w:tc>
      </w:tr>
      <w:tr w14:paraId="0434E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21" w:type="dxa"/>
            <w:vAlign w:val="center"/>
          </w:tcPr>
          <w:p w14:paraId="4C01E291">
            <w:pPr>
              <w:autoSpaceDE w:val="0"/>
              <w:autoSpaceDN w:val="0"/>
              <w:adjustRightInd w:val="0"/>
              <w:snapToGrid w:val="0"/>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2316" w:type="dxa"/>
            <w:vAlign w:val="center"/>
          </w:tcPr>
          <w:p w14:paraId="7F5DB0E9">
            <w:pPr>
              <w:spacing w:line="30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可能遭受雷击的生产设备，应有防雷等措施</w:t>
            </w:r>
            <w:r>
              <w:rPr>
                <w:color w:val="000000" w:themeColor="text1"/>
                <w:sz w:val="21"/>
                <w:szCs w:val="21"/>
                <w14:textFill>
                  <w14:solidFill>
                    <w14:schemeClr w14:val="tx1"/>
                  </w14:solidFill>
                </w14:textFill>
              </w:rPr>
              <w:t>。</w:t>
            </w:r>
          </w:p>
        </w:tc>
        <w:tc>
          <w:tcPr>
            <w:tcW w:w="1843" w:type="dxa"/>
            <w:vAlign w:val="center"/>
          </w:tcPr>
          <w:p w14:paraId="4858CB7D">
            <w:pPr>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14:paraId="1183432B">
            <w:pPr>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GB5083-2023</w:t>
            </w:r>
            <w:r>
              <w:rPr>
                <w:color w:val="000000" w:themeColor="text1"/>
                <w:sz w:val="21"/>
                <w:szCs w:val="21"/>
                <w14:textFill>
                  <w14:solidFill>
                    <w14:schemeClr w14:val="tx1"/>
                  </w14:solidFill>
                </w14:textFill>
              </w:rPr>
              <w:t>）</w:t>
            </w:r>
          </w:p>
          <w:p w14:paraId="73B48A68">
            <w:pPr>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第6.1</w:t>
            </w:r>
            <w:r>
              <w:rPr>
                <w:rFonts w:hint="eastAsia"/>
                <w:color w:val="000000" w:themeColor="text1"/>
                <w:sz w:val="21"/>
                <w:szCs w:val="21"/>
                <w14:textFill>
                  <w14:solidFill>
                    <w14:schemeClr w14:val="tx1"/>
                  </w14:solidFill>
                </w14:textFill>
              </w:rPr>
              <w:t>0.1</w:t>
            </w:r>
            <w:r>
              <w:rPr>
                <w:color w:val="000000" w:themeColor="text1"/>
                <w:sz w:val="21"/>
                <w:szCs w:val="21"/>
                <w14:textFill>
                  <w14:solidFill>
                    <w14:schemeClr w14:val="tx1"/>
                  </w14:solidFill>
                </w14:textFill>
              </w:rPr>
              <w:t>条</w:t>
            </w:r>
          </w:p>
        </w:tc>
        <w:tc>
          <w:tcPr>
            <w:tcW w:w="3449" w:type="dxa"/>
            <w:vAlign w:val="center"/>
          </w:tcPr>
          <w:p w14:paraId="702EA40D">
            <w:pPr>
              <w:spacing w:line="30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本项目防雷接地设施于202</w:t>
            </w:r>
            <w:r>
              <w:rPr>
                <w:rFonts w:hint="eastAsia"/>
                <w:color w:val="000000" w:themeColor="text1"/>
                <w:sz w:val="21"/>
                <w:szCs w:val="21"/>
                <w:lang w:val="en-US" w:eastAsia="zh-CN"/>
                <w14:textFill>
                  <w14:solidFill>
                    <w14:schemeClr w14:val="tx1"/>
                  </w14:solidFill>
                </w14:textFill>
              </w:rPr>
              <w:t>4</w:t>
            </w:r>
            <w:r>
              <w:rPr>
                <w:rFonts w:hint="eastAsia"/>
                <w:color w:val="000000" w:themeColor="text1"/>
                <w:sz w:val="21"/>
                <w:szCs w:val="21"/>
                <w14:textFill>
                  <w14:solidFill>
                    <w14:schemeClr w14:val="tx1"/>
                  </w14:solidFill>
                </w14:textFill>
              </w:rPr>
              <w:t>年</w:t>
            </w:r>
            <w:r>
              <w:rPr>
                <w:rFonts w:hint="eastAsia"/>
                <w:color w:val="000000" w:themeColor="text1"/>
                <w:sz w:val="21"/>
                <w:szCs w:val="21"/>
                <w:lang w:val="en-US" w:eastAsia="zh-CN"/>
                <w14:textFill>
                  <w14:solidFill>
                    <w14:schemeClr w14:val="tx1"/>
                  </w14:solidFill>
                </w14:textFill>
              </w:rPr>
              <w:t>9</w:t>
            </w:r>
            <w:r>
              <w:rPr>
                <w:rFonts w:hint="eastAsia"/>
                <w:color w:val="000000" w:themeColor="text1"/>
                <w:sz w:val="21"/>
                <w:szCs w:val="21"/>
                <w14:textFill>
                  <w14:solidFill>
                    <w14:schemeClr w14:val="tx1"/>
                  </w14:solidFill>
                </w14:textFill>
              </w:rPr>
              <w:t>月</w:t>
            </w:r>
            <w:r>
              <w:rPr>
                <w:rFonts w:hint="eastAsia"/>
                <w:color w:val="000000" w:themeColor="text1"/>
                <w:sz w:val="21"/>
                <w:szCs w:val="21"/>
                <w:lang w:val="en-US" w:eastAsia="zh-CN"/>
                <w14:textFill>
                  <w14:solidFill>
                    <w14:schemeClr w14:val="tx1"/>
                  </w14:solidFill>
                </w14:textFill>
              </w:rPr>
              <w:t>24</w:t>
            </w:r>
            <w:r>
              <w:rPr>
                <w:rFonts w:hint="eastAsia"/>
                <w:color w:val="000000" w:themeColor="text1"/>
                <w:sz w:val="21"/>
                <w:szCs w:val="21"/>
                <w14:textFill>
                  <w14:solidFill>
                    <w14:schemeClr w14:val="tx1"/>
                  </w14:solidFill>
                </w14:textFill>
              </w:rPr>
              <w:t>日</w:t>
            </w:r>
            <w:r>
              <w:rPr>
                <w:rFonts w:hint="eastAsia"/>
                <w:color w:val="000000" w:themeColor="text1"/>
                <w:sz w:val="21"/>
                <w:szCs w:val="21"/>
                <w:lang w:val="en-US" w:eastAsia="zh-CN"/>
                <w14:textFill>
                  <w14:solidFill>
                    <w14:schemeClr w14:val="tx1"/>
                  </w14:solidFill>
                </w14:textFill>
              </w:rPr>
              <w:t>由云南朗泰检测有限公司</w:t>
            </w:r>
            <w:r>
              <w:rPr>
                <w:rFonts w:hint="eastAsia"/>
                <w:color w:val="000000" w:themeColor="text1"/>
                <w:sz w:val="21"/>
                <w:szCs w:val="21"/>
                <w14:textFill>
                  <w14:solidFill>
                    <w14:schemeClr w14:val="tx1"/>
                  </w14:solidFill>
                </w14:textFill>
              </w:rPr>
              <w:t>检测完成</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14:textFill>
                  <w14:solidFill>
                    <w14:schemeClr w14:val="tx1"/>
                  </w14:solidFill>
                </w14:textFill>
              </w:rPr>
              <w:t>检测结果均为合格，有效期至：202</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年</w:t>
            </w:r>
            <w:r>
              <w:rPr>
                <w:rFonts w:hint="eastAsia"/>
                <w:color w:val="000000" w:themeColor="text1"/>
                <w:sz w:val="21"/>
                <w:szCs w:val="21"/>
                <w:lang w:val="en-US" w:eastAsia="zh-CN"/>
                <w14:textFill>
                  <w14:solidFill>
                    <w14:schemeClr w14:val="tx1"/>
                  </w14:solidFill>
                </w14:textFill>
              </w:rPr>
              <w:t>9</w:t>
            </w:r>
            <w:r>
              <w:rPr>
                <w:rFonts w:hint="eastAsia"/>
                <w:color w:val="000000" w:themeColor="text1"/>
                <w:sz w:val="21"/>
                <w:szCs w:val="21"/>
                <w14:textFill>
                  <w14:solidFill>
                    <w14:schemeClr w14:val="tx1"/>
                  </w14:solidFill>
                </w14:textFill>
              </w:rPr>
              <w:t>月</w:t>
            </w:r>
            <w:r>
              <w:rPr>
                <w:rFonts w:hint="eastAsia"/>
                <w:color w:val="000000" w:themeColor="text1"/>
                <w:sz w:val="21"/>
                <w:szCs w:val="21"/>
                <w:lang w:val="en-US" w:eastAsia="zh-CN"/>
                <w14:textFill>
                  <w14:solidFill>
                    <w14:schemeClr w14:val="tx1"/>
                  </w14:solidFill>
                </w14:textFill>
              </w:rPr>
              <w:t>23</w:t>
            </w:r>
            <w:r>
              <w:rPr>
                <w:rFonts w:hint="eastAsia"/>
                <w:color w:val="000000" w:themeColor="text1"/>
                <w:sz w:val="21"/>
                <w:szCs w:val="21"/>
                <w14:textFill>
                  <w14:solidFill>
                    <w14:schemeClr w14:val="tx1"/>
                  </w14:solidFill>
                </w14:textFill>
              </w:rPr>
              <w:t>日，报告编号：</w:t>
            </w:r>
            <w:r>
              <w:rPr>
                <w:rFonts w:hint="eastAsia"/>
                <w:color w:val="000000" w:themeColor="text1"/>
                <w:sz w:val="21"/>
                <w:szCs w:val="21"/>
                <w:lang w:val="en-US" w:eastAsia="zh-CN"/>
                <w14:textFill>
                  <w14:solidFill>
                    <w14:schemeClr w14:val="tx1"/>
                  </w14:solidFill>
                </w14:textFill>
              </w:rPr>
              <w:t>朗泰雷检</w:t>
            </w:r>
            <w:r>
              <w:rPr>
                <w:rFonts w:hint="eastAsia"/>
                <w:color w:val="000000" w:themeColor="text1"/>
                <w:sz w:val="21"/>
                <w:szCs w:val="21"/>
                <w14:textFill>
                  <w14:solidFill>
                    <w14:schemeClr w14:val="tx1"/>
                  </w14:solidFill>
                </w14:textFill>
              </w:rPr>
              <w:t>[202</w:t>
            </w:r>
            <w:r>
              <w:rPr>
                <w:rFonts w:hint="eastAsia"/>
                <w:color w:val="000000" w:themeColor="text1"/>
                <w:sz w:val="21"/>
                <w:szCs w:val="21"/>
                <w:lang w:val="en-US" w:eastAsia="zh-CN"/>
                <w14:textFill>
                  <w14:solidFill>
                    <w14:schemeClr w14:val="tx1"/>
                  </w14:solidFill>
                </w14:textFill>
              </w:rPr>
              <w:t>4</w:t>
            </w:r>
            <w:r>
              <w:rPr>
                <w:rFonts w:hint="eastAsia"/>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CX</w:t>
            </w:r>
            <w:r>
              <w:rPr>
                <w:rFonts w:hint="eastAsia"/>
                <w:color w:val="000000" w:themeColor="text1"/>
                <w:sz w:val="21"/>
                <w:szCs w:val="21"/>
                <w14:textFill>
                  <w14:solidFill>
                    <w14:schemeClr w14:val="tx1"/>
                  </w14:solidFill>
                </w14:textFill>
              </w:rPr>
              <w:t>第</w:t>
            </w:r>
            <w:r>
              <w:rPr>
                <w:rFonts w:hint="eastAsia"/>
                <w:color w:val="000000" w:themeColor="text1"/>
                <w:sz w:val="21"/>
                <w:szCs w:val="21"/>
                <w:lang w:val="en-US" w:eastAsia="zh-CN"/>
                <w14:textFill>
                  <w14:solidFill>
                    <w14:schemeClr w14:val="tx1"/>
                  </w14:solidFill>
                </w14:textFill>
              </w:rPr>
              <w:t>1132</w:t>
            </w:r>
            <w:r>
              <w:rPr>
                <w:rFonts w:hint="eastAsia"/>
                <w:color w:val="000000" w:themeColor="text1"/>
                <w:sz w:val="21"/>
                <w:szCs w:val="21"/>
                <w14:textFill>
                  <w14:solidFill>
                    <w14:schemeClr w14:val="tx1"/>
                  </w14:solidFill>
                </w14:textFill>
              </w:rPr>
              <w:t>号。</w:t>
            </w:r>
          </w:p>
        </w:tc>
        <w:tc>
          <w:tcPr>
            <w:tcW w:w="1228" w:type="dxa"/>
            <w:vAlign w:val="center"/>
          </w:tcPr>
          <w:p w14:paraId="485872B2">
            <w:pPr>
              <w:pStyle w:val="161"/>
              <w:widowControl w:val="0"/>
              <w:adjustRightInd/>
              <w:spacing w:line="300" w:lineRule="exac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5AAAB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521" w:type="dxa"/>
            <w:vAlign w:val="center"/>
          </w:tcPr>
          <w:p w14:paraId="7C85A758">
            <w:pPr>
              <w:autoSpaceDE w:val="0"/>
              <w:autoSpaceDN w:val="0"/>
              <w:adjustRightInd w:val="0"/>
              <w:snapToGrid w:val="0"/>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2316" w:type="dxa"/>
            <w:vAlign w:val="center"/>
          </w:tcPr>
          <w:p w14:paraId="2E71D960">
            <w:pPr>
              <w:autoSpaceDE w:val="0"/>
              <w:autoSpaceDN w:val="0"/>
              <w:adjustRightInd w:val="0"/>
              <w:snapToGrid w:val="0"/>
              <w:spacing w:line="300" w:lineRule="exac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各类防雷建构物应设防直击雷的外部防雷装置，并应采取防雷电电涌浸入措施。</w:t>
            </w:r>
          </w:p>
        </w:tc>
        <w:tc>
          <w:tcPr>
            <w:tcW w:w="1843" w:type="dxa"/>
            <w:vAlign w:val="center"/>
          </w:tcPr>
          <w:p w14:paraId="60ACFBD5">
            <w:pPr>
              <w:autoSpaceDE w:val="0"/>
              <w:autoSpaceDN w:val="0"/>
              <w:adjustRightInd w:val="0"/>
              <w:snapToGrid w:val="0"/>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《建筑物防雷设计规范》（GB50057-2010）</w:t>
            </w:r>
          </w:p>
          <w:p w14:paraId="674610EA">
            <w:pPr>
              <w:autoSpaceDE w:val="0"/>
              <w:autoSpaceDN w:val="0"/>
              <w:adjustRightInd w:val="0"/>
              <w:snapToGrid w:val="0"/>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第4.1.1条</w:t>
            </w:r>
          </w:p>
        </w:tc>
        <w:tc>
          <w:tcPr>
            <w:tcW w:w="3449" w:type="dxa"/>
            <w:vAlign w:val="center"/>
          </w:tcPr>
          <w:p w14:paraId="0603C87D">
            <w:pPr>
              <w:autoSpaceDE w:val="0"/>
              <w:autoSpaceDN w:val="0"/>
              <w:adjustRightInd w:val="0"/>
              <w:snapToGrid w:val="0"/>
              <w:spacing w:line="300" w:lineRule="exac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根据现场检查可知，该项目设置了防雷和防静电接地。</w:t>
            </w:r>
          </w:p>
        </w:tc>
        <w:tc>
          <w:tcPr>
            <w:tcW w:w="1228" w:type="dxa"/>
            <w:vAlign w:val="center"/>
          </w:tcPr>
          <w:p w14:paraId="5A2F10F7">
            <w:pPr>
              <w:autoSpaceDE w:val="0"/>
              <w:autoSpaceDN w:val="0"/>
              <w:adjustRightInd w:val="0"/>
              <w:snapToGrid w:val="0"/>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4E37C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521" w:type="dxa"/>
            <w:vAlign w:val="center"/>
          </w:tcPr>
          <w:p w14:paraId="63556EBD">
            <w:pPr>
              <w:autoSpaceDE w:val="0"/>
              <w:autoSpaceDN w:val="0"/>
              <w:adjustRightInd w:val="0"/>
              <w:snapToGrid w:val="0"/>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2316" w:type="dxa"/>
            <w:vAlign w:val="center"/>
          </w:tcPr>
          <w:p w14:paraId="5F864603">
            <w:pPr>
              <w:autoSpaceDE w:val="0"/>
              <w:autoSpaceDN w:val="0"/>
              <w:adjustRightInd w:val="0"/>
              <w:snapToGrid w:val="0"/>
              <w:spacing w:line="300" w:lineRule="exac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各类防雷建构筑物应设置内部防雷装置。</w:t>
            </w:r>
          </w:p>
        </w:tc>
        <w:tc>
          <w:tcPr>
            <w:tcW w:w="1843" w:type="dxa"/>
            <w:vAlign w:val="center"/>
          </w:tcPr>
          <w:p w14:paraId="3D38DCDF">
            <w:pPr>
              <w:autoSpaceDE w:val="0"/>
              <w:autoSpaceDN w:val="0"/>
              <w:adjustRightInd w:val="0"/>
              <w:snapToGrid w:val="0"/>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《建筑物防雷设计规范》（GB50057-2010）</w:t>
            </w:r>
          </w:p>
          <w:p w14:paraId="497E338C">
            <w:pPr>
              <w:autoSpaceDE w:val="0"/>
              <w:autoSpaceDN w:val="0"/>
              <w:adjustRightInd w:val="0"/>
              <w:snapToGrid w:val="0"/>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第4.1.2条</w:t>
            </w:r>
          </w:p>
        </w:tc>
        <w:tc>
          <w:tcPr>
            <w:tcW w:w="3449" w:type="dxa"/>
            <w:vAlign w:val="center"/>
          </w:tcPr>
          <w:p w14:paraId="098C6837">
            <w:pPr>
              <w:autoSpaceDE w:val="0"/>
              <w:autoSpaceDN w:val="0"/>
              <w:adjustRightInd w:val="0"/>
              <w:snapToGrid w:val="0"/>
              <w:spacing w:line="300" w:lineRule="exac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构筑物已设置内部防雷装置。</w:t>
            </w:r>
          </w:p>
        </w:tc>
        <w:tc>
          <w:tcPr>
            <w:tcW w:w="1228" w:type="dxa"/>
            <w:vAlign w:val="center"/>
          </w:tcPr>
          <w:p w14:paraId="6A86BE19">
            <w:pPr>
              <w:autoSpaceDE w:val="0"/>
              <w:autoSpaceDN w:val="0"/>
              <w:adjustRightInd w:val="0"/>
              <w:snapToGrid w:val="0"/>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7C0CA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521" w:type="dxa"/>
            <w:vAlign w:val="center"/>
          </w:tcPr>
          <w:p w14:paraId="4CE02FF5">
            <w:pPr>
              <w:autoSpaceDE w:val="0"/>
              <w:autoSpaceDN w:val="0"/>
              <w:adjustRightInd w:val="0"/>
              <w:snapToGrid w:val="0"/>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2316" w:type="dxa"/>
            <w:vAlign w:val="center"/>
          </w:tcPr>
          <w:p w14:paraId="4F9CAF75">
            <w:pPr>
              <w:spacing w:line="300" w:lineRule="exac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在静电危险场所，所有属于静电导体的物体必须接地。对金属物体必须采用金属导体与大地做导通性连接，对金属以外的静电导体及亚导体则应间接接地。</w:t>
            </w:r>
          </w:p>
        </w:tc>
        <w:tc>
          <w:tcPr>
            <w:tcW w:w="1843" w:type="dxa"/>
            <w:vAlign w:val="center"/>
          </w:tcPr>
          <w:p w14:paraId="4903F318">
            <w:pPr>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《防止静电事故通用导则》</w:t>
            </w:r>
          </w:p>
          <w:p w14:paraId="3791C685">
            <w:pPr>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（GB12158-2006）</w:t>
            </w:r>
          </w:p>
          <w:p w14:paraId="6E79BE3F">
            <w:pPr>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第6.1.2条</w:t>
            </w:r>
          </w:p>
        </w:tc>
        <w:tc>
          <w:tcPr>
            <w:tcW w:w="3449" w:type="dxa"/>
            <w:vAlign w:val="center"/>
          </w:tcPr>
          <w:p w14:paraId="4F84603C">
            <w:pPr>
              <w:spacing w:line="30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本项目防雷接地设施于202</w:t>
            </w:r>
            <w:r>
              <w:rPr>
                <w:rFonts w:hint="eastAsia"/>
                <w:color w:val="000000" w:themeColor="text1"/>
                <w:sz w:val="21"/>
                <w:szCs w:val="21"/>
                <w:lang w:val="en-US" w:eastAsia="zh-CN"/>
                <w14:textFill>
                  <w14:solidFill>
                    <w14:schemeClr w14:val="tx1"/>
                  </w14:solidFill>
                </w14:textFill>
              </w:rPr>
              <w:t>4</w:t>
            </w:r>
            <w:r>
              <w:rPr>
                <w:rFonts w:hint="eastAsia"/>
                <w:color w:val="000000" w:themeColor="text1"/>
                <w:sz w:val="21"/>
                <w:szCs w:val="21"/>
                <w14:textFill>
                  <w14:solidFill>
                    <w14:schemeClr w14:val="tx1"/>
                  </w14:solidFill>
                </w14:textFill>
              </w:rPr>
              <w:t>年</w:t>
            </w:r>
            <w:r>
              <w:rPr>
                <w:rFonts w:hint="eastAsia"/>
                <w:color w:val="000000" w:themeColor="text1"/>
                <w:sz w:val="21"/>
                <w:szCs w:val="21"/>
                <w:lang w:val="en-US" w:eastAsia="zh-CN"/>
                <w14:textFill>
                  <w14:solidFill>
                    <w14:schemeClr w14:val="tx1"/>
                  </w14:solidFill>
                </w14:textFill>
              </w:rPr>
              <w:t>9</w:t>
            </w:r>
            <w:r>
              <w:rPr>
                <w:rFonts w:hint="eastAsia"/>
                <w:color w:val="000000" w:themeColor="text1"/>
                <w:sz w:val="21"/>
                <w:szCs w:val="21"/>
                <w14:textFill>
                  <w14:solidFill>
                    <w14:schemeClr w14:val="tx1"/>
                  </w14:solidFill>
                </w14:textFill>
              </w:rPr>
              <w:t>月</w:t>
            </w:r>
            <w:r>
              <w:rPr>
                <w:rFonts w:hint="eastAsia"/>
                <w:color w:val="000000" w:themeColor="text1"/>
                <w:sz w:val="21"/>
                <w:szCs w:val="21"/>
                <w:lang w:val="en-US" w:eastAsia="zh-CN"/>
                <w14:textFill>
                  <w14:solidFill>
                    <w14:schemeClr w14:val="tx1"/>
                  </w14:solidFill>
                </w14:textFill>
              </w:rPr>
              <w:t>24</w:t>
            </w:r>
            <w:r>
              <w:rPr>
                <w:rFonts w:hint="eastAsia"/>
                <w:color w:val="000000" w:themeColor="text1"/>
                <w:sz w:val="21"/>
                <w:szCs w:val="21"/>
                <w14:textFill>
                  <w14:solidFill>
                    <w14:schemeClr w14:val="tx1"/>
                  </w14:solidFill>
                </w14:textFill>
              </w:rPr>
              <w:t>日</w:t>
            </w:r>
            <w:r>
              <w:rPr>
                <w:rFonts w:hint="eastAsia"/>
                <w:color w:val="000000" w:themeColor="text1"/>
                <w:sz w:val="21"/>
                <w:szCs w:val="21"/>
                <w:lang w:val="en-US" w:eastAsia="zh-CN"/>
                <w14:textFill>
                  <w14:solidFill>
                    <w14:schemeClr w14:val="tx1"/>
                  </w14:solidFill>
                </w14:textFill>
              </w:rPr>
              <w:t>由云南朗泰检测有限公司</w:t>
            </w:r>
            <w:r>
              <w:rPr>
                <w:rFonts w:hint="eastAsia"/>
                <w:color w:val="000000" w:themeColor="text1"/>
                <w:sz w:val="21"/>
                <w:szCs w:val="21"/>
                <w14:textFill>
                  <w14:solidFill>
                    <w14:schemeClr w14:val="tx1"/>
                  </w14:solidFill>
                </w14:textFill>
              </w:rPr>
              <w:t>检测完成</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14:textFill>
                  <w14:solidFill>
                    <w14:schemeClr w14:val="tx1"/>
                  </w14:solidFill>
                </w14:textFill>
              </w:rPr>
              <w:t>检测结果均为合格，有效期至：202</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年</w:t>
            </w:r>
            <w:r>
              <w:rPr>
                <w:rFonts w:hint="eastAsia"/>
                <w:color w:val="000000" w:themeColor="text1"/>
                <w:sz w:val="21"/>
                <w:szCs w:val="21"/>
                <w:lang w:val="en-US" w:eastAsia="zh-CN"/>
                <w14:textFill>
                  <w14:solidFill>
                    <w14:schemeClr w14:val="tx1"/>
                  </w14:solidFill>
                </w14:textFill>
              </w:rPr>
              <w:t>9</w:t>
            </w:r>
            <w:r>
              <w:rPr>
                <w:rFonts w:hint="eastAsia"/>
                <w:color w:val="000000" w:themeColor="text1"/>
                <w:sz w:val="21"/>
                <w:szCs w:val="21"/>
                <w14:textFill>
                  <w14:solidFill>
                    <w14:schemeClr w14:val="tx1"/>
                  </w14:solidFill>
                </w14:textFill>
              </w:rPr>
              <w:t>月</w:t>
            </w:r>
            <w:r>
              <w:rPr>
                <w:rFonts w:hint="eastAsia"/>
                <w:color w:val="000000" w:themeColor="text1"/>
                <w:sz w:val="21"/>
                <w:szCs w:val="21"/>
                <w:lang w:val="en-US" w:eastAsia="zh-CN"/>
                <w14:textFill>
                  <w14:solidFill>
                    <w14:schemeClr w14:val="tx1"/>
                  </w14:solidFill>
                </w14:textFill>
              </w:rPr>
              <w:t>23</w:t>
            </w:r>
            <w:r>
              <w:rPr>
                <w:rFonts w:hint="eastAsia"/>
                <w:color w:val="000000" w:themeColor="text1"/>
                <w:sz w:val="21"/>
                <w:szCs w:val="21"/>
                <w14:textFill>
                  <w14:solidFill>
                    <w14:schemeClr w14:val="tx1"/>
                  </w14:solidFill>
                </w14:textFill>
              </w:rPr>
              <w:t>日，报告编号：</w:t>
            </w:r>
            <w:r>
              <w:rPr>
                <w:rFonts w:hint="eastAsia"/>
                <w:color w:val="000000" w:themeColor="text1"/>
                <w:sz w:val="21"/>
                <w:szCs w:val="21"/>
                <w:lang w:val="en-US" w:eastAsia="zh-CN"/>
                <w14:textFill>
                  <w14:solidFill>
                    <w14:schemeClr w14:val="tx1"/>
                  </w14:solidFill>
                </w14:textFill>
              </w:rPr>
              <w:t>朗泰雷检</w:t>
            </w:r>
            <w:r>
              <w:rPr>
                <w:rFonts w:hint="eastAsia"/>
                <w:color w:val="000000" w:themeColor="text1"/>
                <w:sz w:val="21"/>
                <w:szCs w:val="21"/>
                <w14:textFill>
                  <w14:solidFill>
                    <w14:schemeClr w14:val="tx1"/>
                  </w14:solidFill>
                </w14:textFill>
              </w:rPr>
              <w:t>[202</w:t>
            </w:r>
            <w:r>
              <w:rPr>
                <w:rFonts w:hint="eastAsia"/>
                <w:color w:val="000000" w:themeColor="text1"/>
                <w:sz w:val="21"/>
                <w:szCs w:val="21"/>
                <w:lang w:val="en-US" w:eastAsia="zh-CN"/>
                <w14:textFill>
                  <w14:solidFill>
                    <w14:schemeClr w14:val="tx1"/>
                  </w14:solidFill>
                </w14:textFill>
              </w:rPr>
              <w:t>4</w:t>
            </w:r>
            <w:r>
              <w:rPr>
                <w:rFonts w:hint="eastAsia"/>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CX</w:t>
            </w:r>
            <w:r>
              <w:rPr>
                <w:rFonts w:hint="eastAsia"/>
                <w:color w:val="000000" w:themeColor="text1"/>
                <w:sz w:val="21"/>
                <w:szCs w:val="21"/>
                <w14:textFill>
                  <w14:solidFill>
                    <w14:schemeClr w14:val="tx1"/>
                  </w14:solidFill>
                </w14:textFill>
              </w:rPr>
              <w:t>第</w:t>
            </w:r>
            <w:r>
              <w:rPr>
                <w:rFonts w:hint="eastAsia"/>
                <w:color w:val="000000" w:themeColor="text1"/>
                <w:sz w:val="21"/>
                <w:szCs w:val="21"/>
                <w:lang w:val="en-US" w:eastAsia="zh-CN"/>
                <w14:textFill>
                  <w14:solidFill>
                    <w14:schemeClr w14:val="tx1"/>
                  </w14:solidFill>
                </w14:textFill>
              </w:rPr>
              <w:t>1132</w:t>
            </w:r>
            <w:r>
              <w:rPr>
                <w:rFonts w:hint="eastAsia"/>
                <w:color w:val="000000" w:themeColor="text1"/>
                <w:sz w:val="21"/>
                <w:szCs w:val="21"/>
                <w14:textFill>
                  <w14:solidFill>
                    <w14:schemeClr w14:val="tx1"/>
                  </w14:solidFill>
                </w14:textFill>
              </w:rPr>
              <w:t>号。</w:t>
            </w:r>
          </w:p>
        </w:tc>
        <w:tc>
          <w:tcPr>
            <w:tcW w:w="1228" w:type="dxa"/>
            <w:vAlign w:val="center"/>
          </w:tcPr>
          <w:p w14:paraId="246CC6A0">
            <w:pPr>
              <w:spacing w:line="30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bl>
    <w:p w14:paraId="0B63CCFE">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761" w:name="_Toc24965"/>
      <w:bookmarkStart w:id="762" w:name="_Toc22920"/>
      <w:bookmarkStart w:id="763" w:name="_Toc1530"/>
      <w:bookmarkStart w:id="764" w:name="_Toc28849"/>
      <w:r>
        <w:rPr>
          <w:rFonts w:hint="default" w:ascii="Times New Roman" w:hAnsi="Times New Roman" w:eastAsia="黑体" w:cs="Times New Roman"/>
          <w:color w:val="000000" w:themeColor="text1"/>
          <w:lang w:val="en-US" w:eastAsia="zh-CN"/>
          <w14:textFill>
            <w14:solidFill>
              <w14:schemeClr w14:val="tx1"/>
            </w14:solidFill>
          </w14:textFill>
        </w:rPr>
        <w:t>5.3.3单元评价小结</w:t>
      </w:r>
      <w:bookmarkEnd w:id="758"/>
      <w:bookmarkEnd w:id="759"/>
      <w:bookmarkEnd w:id="760"/>
      <w:bookmarkEnd w:id="761"/>
      <w:bookmarkEnd w:id="762"/>
      <w:bookmarkEnd w:id="763"/>
      <w:bookmarkEnd w:id="764"/>
    </w:p>
    <w:p w14:paraId="0EBBD26A">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eastAsia="黑体"/>
          <w:b/>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lang w:eastAsia="zh-CN"/>
          <w14:textFill>
            <w14:solidFill>
              <w14:schemeClr w14:val="tx1"/>
            </w14:solidFill>
          </w14:textFill>
        </w:rPr>
        <w:t>.</w:t>
      </w:r>
      <w:r>
        <w:rPr>
          <w:color w:val="000000" w:themeColor="text1"/>
          <w:sz w:val="28"/>
          <w:szCs w:val="28"/>
          <w14:textFill>
            <w14:solidFill>
              <w14:schemeClr w14:val="tx1"/>
            </w14:solidFill>
          </w14:textFill>
        </w:rPr>
        <w:t>安全检查表分析评价结果：该项目的安全防护设施符合《安全色》（GB2893-2008）、《安全标志及其使用导则》（GB2894-2008）、《机械安全防护装置固定式和活动式防护装置的设计与制造一般要求》（GB/T8196-2018）、《机械工业职业安全卫生设计规范》（JBJ18-2000）等国家相关标准、规范的规定和要求。</w:t>
      </w:r>
    </w:p>
    <w:p w14:paraId="665E2F35">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w:t>
      </w:r>
      <w:r>
        <w:rPr>
          <w:rFonts w:hint="eastAsia"/>
          <w:color w:val="000000" w:themeColor="text1"/>
          <w:sz w:val="28"/>
          <w:szCs w:val="28"/>
          <w:lang w:eastAsia="zh-CN"/>
          <w14:textFill>
            <w14:solidFill>
              <w14:schemeClr w14:val="tx1"/>
            </w14:solidFill>
          </w14:textFill>
        </w:rPr>
        <w:t>.</w:t>
      </w:r>
      <w:r>
        <w:rPr>
          <w:color w:val="000000" w:themeColor="text1"/>
          <w:sz w:val="28"/>
          <w:szCs w:val="28"/>
          <w14:textFill>
            <w14:solidFill>
              <w14:schemeClr w14:val="tx1"/>
            </w14:solidFill>
          </w14:textFill>
        </w:rPr>
        <w:t>安全检查表分析评价结果</w:t>
      </w:r>
      <w:r>
        <w:rPr>
          <w:color w:val="000000" w:themeColor="text1"/>
          <w:kern w:val="0"/>
          <w:sz w:val="28"/>
          <w:szCs w:val="28"/>
          <w14:textFill>
            <w14:solidFill>
              <w14:schemeClr w14:val="tx1"/>
            </w14:solidFill>
          </w14:textFill>
        </w:rPr>
        <w:t>：该项目防雷、防静电装置符合《建筑物防雷设计规范》（GB50057-2010）、《生产设备安全卫生设计总则》（GB5083-</w:t>
      </w:r>
      <w:r>
        <w:rPr>
          <w:rFonts w:hint="eastAsia"/>
          <w:color w:val="000000" w:themeColor="text1"/>
          <w:kern w:val="0"/>
          <w:sz w:val="28"/>
          <w:szCs w:val="28"/>
          <w14:textFill>
            <w14:solidFill>
              <w14:schemeClr w14:val="tx1"/>
            </w14:solidFill>
          </w14:textFill>
        </w:rPr>
        <w:t>2023</w:t>
      </w:r>
      <w:r>
        <w:rPr>
          <w:color w:val="000000" w:themeColor="text1"/>
          <w:kern w:val="0"/>
          <w:sz w:val="28"/>
          <w:szCs w:val="28"/>
          <w14:textFill>
            <w14:solidFill>
              <w14:schemeClr w14:val="tx1"/>
            </w14:solidFill>
          </w14:textFill>
        </w:rPr>
        <w:t>）</w:t>
      </w:r>
      <w:r>
        <w:rPr>
          <w:rFonts w:hint="eastAsia"/>
          <w:color w:val="000000" w:themeColor="text1"/>
          <w:kern w:val="0"/>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《防止静电事故通用导则》（</w:t>
      </w:r>
      <w:r>
        <w:rPr>
          <w:color w:val="000000" w:themeColor="text1"/>
          <w:sz w:val="28"/>
          <w:szCs w:val="28"/>
          <w14:textFill>
            <w14:solidFill>
              <w14:schemeClr w14:val="tx1"/>
            </w14:solidFill>
          </w14:textFill>
        </w:rPr>
        <w:t>GB12158-2006</w:t>
      </w:r>
      <w:r>
        <w:rPr>
          <w:rFonts w:hint="eastAsia"/>
          <w:color w:val="000000" w:themeColor="text1"/>
          <w:sz w:val="28"/>
          <w:szCs w:val="28"/>
          <w14:textFill>
            <w14:solidFill>
              <w14:schemeClr w14:val="tx1"/>
            </w14:solidFill>
          </w14:textFill>
        </w:rPr>
        <w:t>）</w:t>
      </w:r>
      <w:r>
        <w:rPr>
          <w:color w:val="000000" w:themeColor="text1"/>
          <w:kern w:val="0"/>
          <w:sz w:val="28"/>
          <w:szCs w:val="28"/>
          <w14:textFill>
            <w14:solidFill>
              <w14:schemeClr w14:val="tx1"/>
            </w14:solidFill>
          </w14:textFill>
        </w:rPr>
        <w:t>等标准、规范的要求</w:t>
      </w:r>
      <w:r>
        <w:rPr>
          <w:color w:val="000000" w:themeColor="text1"/>
          <w:sz w:val="28"/>
          <w:szCs w:val="28"/>
          <w14:textFill>
            <w14:solidFill>
              <w14:schemeClr w14:val="tx1"/>
            </w14:solidFill>
          </w14:textFill>
        </w:rPr>
        <w:t>。</w:t>
      </w:r>
    </w:p>
    <w:bookmarkEnd w:id="700"/>
    <w:bookmarkEnd w:id="701"/>
    <w:bookmarkEnd w:id="705"/>
    <w:bookmarkEnd w:id="706"/>
    <w:p w14:paraId="3D2EEEEF">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765" w:name="_Toc4845"/>
      <w:bookmarkStart w:id="766" w:name="_Toc15595"/>
      <w:bookmarkStart w:id="767" w:name="_Toc11675"/>
      <w:bookmarkStart w:id="768" w:name="_Toc13427"/>
      <w:bookmarkStart w:id="769" w:name="_Toc313493993"/>
      <w:bookmarkStart w:id="770" w:name="_Toc313453596"/>
      <w:bookmarkStart w:id="771" w:name="_Toc11730"/>
      <w:bookmarkStart w:id="772" w:name="_Toc145775743"/>
      <w:bookmarkStart w:id="773" w:name="_Toc335926300"/>
      <w:r>
        <w:rPr>
          <w:rFonts w:hint="default" w:ascii="Times New Roman" w:hAnsi="Times New Roman" w:eastAsia="楷体" w:cs="Times New Roman"/>
          <w:color w:val="000000" w:themeColor="text1"/>
          <w14:textFill>
            <w14:solidFill>
              <w14:schemeClr w14:val="tx1"/>
            </w14:solidFill>
          </w14:textFill>
        </w:rPr>
        <w:t>5.</w:t>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eastAsia="楷体" w:cs="Times New Roman"/>
          <w:color w:val="000000" w:themeColor="text1"/>
          <w14:textFill>
            <w14:solidFill>
              <w14:schemeClr w14:val="tx1"/>
            </w14:solidFill>
          </w14:textFill>
        </w:rPr>
        <w:t>公用工程及辅助设施评价单元</w:t>
      </w:r>
      <w:bookmarkEnd w:id="765"/>
      <w:bookmarkEnd w:id="766"/>
      <w:bookmarkEnd w:id="767"/>
      <w:bookmarkEnd w:id="768"/>
    </w:p>
    <w:p w14:paraId="00773BD8">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774" w:name="_Toc18520"/>
      <w:bookmarkStart w:id="775" w:name="_Toc433009881"/>
      <w:bookmarkStart w:id="776" w:name="_Toc27554"/>
      <w:bookmarkStart w:id="777" w:name="_Toc211237913"/>
      <w:bookmarkStart w:id="778" w:name="_Toc278282327"/>
      <w:r>
        <w:rPr>
          <w:rFonts w:hint="default" w:ascii="Times New Roman" w:hAnsi="Times New Roman" w:eastAsia="黑体" w:cs="Times New Roman"/>
          <w:color w:val="000000" w:themeColor="text1"/>
          <w:lang w:val="en-US" w:eastAsia="zh-CN"/>
          <w14:textFill>
            <w14:solidFill>
              <w14:schemeClr w14:val="tx1"/>
            </w14:solidFill>
          </w14:textFill>
        </w:rPr>
        <w:t>5.</w:t>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eastAsia="黑体" w:cs="Times New Roman"/>
          <w:color w:val="000000" w:themeColor="text1"/>
          <w:lang w:val="en-US" w:eastAsia="zh-CN"/>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 xml:space="preserve"> 供配电系统</w:t>
      </w:r>
      <w:r>
        <w:rPr>
          <w:rFonts w:hint="default" w:ascii="Times New Roman" w:hAnsi="Times New Roman" w:eastAsia="黑体" w:cs="Times New Roman"/>
          <w:color w:val="000000" w:themeColor="text1"/>
          <w:lang w:val="en-US" w:eastAsia="zh-CN"/>
          <w14:textFill>
            <w14:solidFill>
              <w14:schemeClr w14:val="tx1"/>
            </w14:solidFill>
          </w14:textFill>
        </w:rPr>
        <w:t>安全检查表</w:t>
      </w:r>
      <w:bookmarkEnd w:id="774"/>
      <w:bookmarkEnd w:id="775"/>
      <w:bookmarkEnd w:id="776"/>
    </w:p>
    <w:p w14:paraId="6F54A2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依据《用电安全导则》（GB/T 13869-2017）、《低压配电设计规范》（GB 50054-2011）等标准规范的规定，对本项目的供配电采用安全检查表法进行分析评价。检查结果见下表。</w:t>
      </w:r>
    </w:p>
    <w:p w14:paraId="76841EB5">
      <w:pPr>
        <w:numPr>
          <w:ilvl w:val="0"/>
          <w:numId w:val="0"/>
        </w:numPr>
        <w:adjustRightInd w:val="0"/>
        <w:snapToGrid w:val="0"/>
        <w:ind w:leftChars="0"/>
        <w:jc w:val="center"/>
        <w:rPr>
          <w:rFonts w:ascii="宋体" w:hAnsi="宋体"/>
          <w:b/>
          <w:bCs w:val="0"/>
          <w:color w:val="000000" w:themeColor="text1"/>
          <w:sz w:val="24"/>
          <w14:textFill>
            <w14:solidFill>
              <w14:schemeClr w14:val="tx1"/>
            </w14:solidFill>
          </w14:textFill>
        </w:rPr>
      </w:pPr>
      <w:r>
        <w:rPr>
          <w:rFonts w:hint="eastAsia" w:hAnsi="宋体"/>
          <w:b/>
          <w:bCs w:val="0"/>
          <w:color w:val="000000" w:themeColor="text1"/>
          <w:sz w:val="24"/>
          <w:lang w:val="en-US" w:eastAsia="zh-CN"/>
          <w14:textFill>
            <w14:solidFill>
              <w14:schemeClr w14:val="tx1"/>
            </w14:solidFill>
          </w14:textFill>
        </w:rPr>
        <w:t xml:space="preserve">表5-6 </w:t>
      </w:r>
      <w:r>
        <w:rPr>
          <w:rFonts w:ascii="宋体" w:hAnsi="宋体"/>
          <w:b/>
          <w:bCs w:val="0"/>
          <w:color w:val="000000" w:themeColor="text1"/>
          <w:sz w:val="24"/>
          <w14:textFill>
            <w14:solidFill>
              <w14:schemeClr w14:val="tx1"/>
            </w14:solidFill>
          </w14:textFill>
        </w:rPr>
        <w:t>供配电安全检查表</w:t>
      </w:r>
    </w:p>
    <w:tbl>
      <w:tblPr>
        <w:tblStyle w:val="51"/>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343"/>
        <w:gridCol w:w="2126"/>
        <w:gridCol w:w="2539"/>
        <w:gridCol w:w="700"/>
      </w:tblGrid>
      <w:tr w14:paraId="42DFC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50" w:type="dxa"/>
            <w:vAlign w:val="center"/>
          </w:tcPr>
          <w:p w14:paraId="15C0FD0D">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343" w:type="dxa"/>
            <w:vAlign w:val="center"/>
          </w:tcPr>
          <w:p w14:paraId="249C610A">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26" w:type="dxa"/>
            <w:vAlign w:val="center"/>
          </w:tcPr>
          <w:p w14:paraId="2EF9E568">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2539" w:type="dxa"/>
            <w:vAlign w:val="center"/>
          </w:tcPr>
          <w:p w14:paraId="3ADEF5BB">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700" w:type="dxa"/>
            <w:vAlign w:val="center"/>
          </w:tcPr>
          <w:p w14:paraId="3D6A2BFC">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469D1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3D815579">
            <w:pPr>
              <w:numPr>
                <w:ilvl w:val="0"/>
                <w:numId w:val="14"/>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vAlign w:val="center"/>
          </w:tcPr>
          <w:p w14:paraId="02F46605">
            <w:pPr>
              <w:spacing w:line="240" w:lineRule="auto"/>
              <w:ind w:firstLine="0" w:firstLineChars="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配电线路应装设短路保护和过负荷保护</w:t>
            </w:r>
          </w:p>
        </w:tc>
        <w:tc>
          <w:tcPr>
            <w:tcW w:w="2126" w:type="dxa"/>
            <w:vAlign w:val="center"/>
          </w:tcPr>
          <w:p w14:paraId="57CD8887">
            <w:pPr>
              <w:spacing w:line="240" w:lineRule="auto"/>
              <w:ind w:firstLine="0" w:firstLineChars="0"/>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《低压配电设计规范》（GB 50054-2011）6.1.1</w:t>
            </w:r>
          </w:p>
        </w:tc>
        <w:tc>
          <w:tcPr>
            <w:tcW w:w="2539" w:type="dxa"/>
            <w:vAlign w:val="center"/>
          </w:tcPr>
          <w:p w14:paraId="7EFC52FA">
            <w:pPr>
              <w:spacing w:line="240" w:lineRule="auto"/>
              <w:ind w:firstLine="0" w:firstLineChars="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配电线路装设短路保护，过载保护和接地保护。</w:t>
            </w:r>
          </w:p>
        </w:tc>
        <w:tc>
          <w:tcPr>
            <w:tcW w:w="700" w:type="dxa"/>
            <w:vAlign w:val="center"/>
          </w:tcPr>
          <w:p w14:paraId="1E5B50C8">
            <w:pPr>
              <w:spacing w:line="240" w:lineRule="auto"/>
              <w:ind w:firstLine="0" w:firstLineChars="0"/>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符合</w:t>
            </w:r>
          </w:p>
        </w:tc>
      </w:tr>
      <w:tr w14:paraId="21B9B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38A298B9">
            <w:pPr>
              <w:numPr>
                <w:ilvl w:val="0"/>
                <w:numId w:val="14"/>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vAlign w:val="center"/>
          </w:tcPr>
          <w:p w14:paraId="5CB3714B">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从事电气作业的特种作业人员应经专门的安全培训，在取得相应特种作业操作资格证书后，方可上岗。</w:t>
            </w:r>
          </w:p>
        </w:tc>
        <w:tc>
          <w:tcPr>
            <w:tcW w:w="2126" w:type="dxa"/>
            <w:vAlign w:val="center"/>
          </w:tcPr>
          <w:p w14:paraId="0DA00B14">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《用电安全导则》(GB/T 13869-2017)</w:t>
            </w:r>
          </w:p>
          <w:p w14:paraId="717F976C">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p>
        </w:tc>
        <w:tc>
          <w:tcPr>
            <w:tcW w:w="2539" w:type="dxa"/>
            <w:vAlign w:val="center"/>
          </w:tcPr>
          <w:p w14:paraId="4BB04ADF">
            <w:pPr>
              <w:spacing w:line="240" w:lineRule="auto"/>
              <w:ind w:firstLine="0" w:firstLineChars="0"/>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电工持证上岗</w:t>
            </w:r>
          </w:p>
        </w:tc>
        <w:tc>
          <w:tcPr>
            <w:tcW w:w="700" w:type="dxa"/>
            <w:vAlign w:val="center"/>
          </w:tcPr>
          <w:p w14:paraId="2F9CF6F3">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E826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7298E210">
            <w:pPr>
              <w:numPr>
                <w:ilvl w:val="0"/>
                <w:numId w:val="14"/>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192B005E">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电气线路应具有足够的绝缘强度、机械强度和导电能力，其安装应符合相应产品标准的规定。</w:t>
            </w:r>
          </w:p>
        </w:tc>
        <w:tc>
          <w:tcPr>
            <w:tcW w:w="2126" w:type="dxa"/>
            <w:shd w:val="clear" w:color="auto" w:fill="auto"/>
            <w:vAlign w:val="center"/>
          </w:tcPr>
          <w:p w14:paraId="05A85F3B">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GB/T13869-2017第5.1.2条</w:t>
            </w:r>
          </w:p>
        </w:tc>
        <w:tc>
          <w:tcPr>
            <w:tcW w:w="2539" w:type="dxa"/>
            <w:shd w:val="clear" w:color="auto" w:fill="auto"/>
            <w:vAlign w:val="center"/>
          </w:tcPr>
          <w:p w14:paraId="175C2A98">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电气线路由专业电气操作人员安装、维护。</w:t>
            </w:r>
          </w:p>
        </w:tc>
        <w:tc>
          <w:tcPr>
            <w:tcW w:w="700" w:type="dxa"/>
            <w:shd w:val="clear" w:color="auto" w:fill="auto"/>
            <w:vAlign w:val="center"/>
          </w:tcPr>
          <w:p w14:paraId="28403DDA">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BF75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60EDB983">
            <w:pPr>
              <w:numPr>
                <w:ilvl w:val="0"/>
                <w:numId w:val="14"/>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1A265807">
            <w:pPr>
              <w:spacing w:line="36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在控制室、屋内配电装置室及屋内主要通道等处，应装设事故照明。</w:t>
            </w:r>
          </w:p>
        </w:tc>
        <w:tc>
          <w:tcPr>
            <w:tcW w:w="2126" w:type="dxa"/>
            <w:shd w:val="clear" w:color="auto" w:fill="auto"/>
            <w:vAlign w:val="top"/>
          </w:tcPr>
          <w:p w14:paraId="4DAD9429">
            <w:pPr>
              <w:spacing w:line="36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《用电安全导则》GB/T13869-2017</w:t>
            </w:r>
          </w:p>
        </w:tc>
        <w:tc>
          <w:tcPr>
            <w:tcW w:w="2539" w:type="dxa"/>
            <w:shd w:val="clear" w:color="auto" w:fill="auto"/>
            <w:vAlign w:val="center"/>
          </w:tcPr>
          <w:p w14:paraId="12822930">
            <w:pPr>
              <w:widowControl/>
              <w:spacing w:line="36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根据生产需求，未设置配电室。</w:t>
            </w:r>
          </w:p>
        </w:tc>
        <w:tc>
          <w:tcPr>
            <w:tcW w:w="700" w:type="dxa"/>
            <w:shd w:val="clear" w:color="auto" w:fill="auto"/>
            <w:vAlign w:val="center"/>
          </w:tcPr>
          <w:p w14:paraId="58AB9969">
            <w:pPr>
              <w:spacing w:line="360" w:lineRule="auto"/>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13BAA1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由上述安全检查表的结果可知，</w:t>
      </w:r>
      <w:bookmarkStart w:id="779" w:name="_Hlk51319922"/>
      <w:r>
        <w:rPr>
          <w:rFonts w:hint="eastAsia" w:ascii="宋体" w:hAnsi="宋体" w:eastAsia="宋体" w:cs="宋体"/>
          <w:color w:val="000000" w:themeColor="text1"/>
          <w:sz w:val="28"/>
          <w:szCs w:val="28"/>
          <w14:textFill>
            <w14:solidFill>
              <w14:schemeClr w14:val="tx1"/>
            </w14:solidFill>
          </w14:textFill>
        </w:rPr>
        <w:t>本项目的供配电系统</w:t>
      </w:r>
      <w:bookmarkEnd w:id="779"/>
      <w:r>
        <w:rPr>
          <w:rFonts w:hint="eastAsia" w:ascii="宋体" w:hAnsi="宋体" w:eastAsia="宋体" w:cs="宋体"/>
          <w:color w:val="000000" w:themeColor="text1"/>
          <w:sz w:val="28"/>
          <w:szCs w:val="28"/>
          <w14:textFill>
            <w14:solidFill>
              <w14:schemeClr w14:val="tx1"/>
            </w14:solidFill>
          </w14:textFill>
        </w:rPr>
        <w:t>符合《用电安全导则》（GB/T 13869-2017）、《低压配电设计规范》（GB 50054-2011）等标准规范的要求。</w:t>
      </w:r>
    </w:p>
    <w:p w14:paraId="2267E65C">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780" w:name="_Toc27249"/>
      <w:bookmarkStart w:id="781" w:name="_Toc433009882"/>
      <w:r>
        <w:rPr>
          <w:rFonts w:hint="default" w:ascii="Times New Roman" w:hAnsi="Times New Roman" w:eastAsia="黑体" w:cs="Times New Roman"/>
          <w:color w:val="000000" w:themeColor="text1"/>
          <w:lang w:val="en-US" w:eastAsia="zh-CN"/>
          <w14:textFill>
            <w14:solidFill>
              <w14:schemeClr w14:val="tx1"/>
            </w14:solidFill>
          </w14:textFill>
        </w:rPr>
        <w:t>5.</w:t>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eastAsia="黑体" w:cs="Times New Roman"/>
          <w:color w:val="000000" w:themeColor="text1"/>
          <w:lang w:val="en-US" w:eastAsia="zh-CN"/>
          <w14:textFill>
            <w14:solidFill>
              <w14:schemeClr w14:val="tx1"/>
            </w14:solidFill>
          </w14:textFill>
        </w:rPr>
        <w:t>2</w:t>
      </w:r>
      <w:r>
        <w:rPr>
          <w:rFonts w:hint="eastAsia" w:ascii="Times New Roman" w:hAnsi="Times New Roman" w:eastAsia="黑体"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lang w:val="en-US" w:eastAsia="zh-CN"/>
          <w14:textFill>
            <w14:solidFill>
              <w14:schemeClr w14:val="tx1"/>
            </w14:solidFill>
          </w14:textFill>
        </w:rPr>
        <w:t>给排水系统</w:t>
      </w:r>
      <w:r>
        <w:rPr>
          <w:rFonts w:hint="eastAsia" w:ascii="Times New Roman" w:hAnsi="Times New Roman" w:cs="Times New Roman"/>
          <w:color w:val="000000" w:themeColor="text1"/>
          <w:lang w:val="en-US" w:eastAsia="zh-CN"/>
          <w14:textFill>
            <w14:solidFill>
              <w14:schemeClr w14:val="tx1"/>
            </w14:solidFill>
          </w14:textFill>
        </w:rPr>
        <w:t>安全检查表</w:t>
      </w:r>
      <w:bookmarkEnd w:id="780"/>
    </w:p>
    <w:bookmarkEnd w:id="777"/>
    <w:bookmarkEnd w:id="778"/>
    <w:bookmarkEnd w:id="781"/>
    <w:p w14:paraId="12EA9F5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依据《工业企业总平面设计规范》（GB50187-2012）等标准规范的要求，对该厂的给排水进行安全检查。检查结果见下表5-</w:t>
      </w:r>
      <w:r>
        <w:rPr>
          <w:rFonts w:hint="eastAsia" w:hAnsi="宋体" w:cs="宋体"/>
          <w:color w:val="000000" w:themeColor="text1"/>
          <w:sz w:val="28"/>
          <w:szCs w:val="28"/>
          <w:lang w:val="en-US" w:eastAsia="zh-CN"/>
          <w14:textFill>
            <w14:solidFill>
              <w14:schemeClr w14:val="tx1"/>
            </w14:solidFill>
          </w14:textFill>
        </w:rPr>
        <w:t>7</w:t>
      </w:r>
      <w:r>
        <w:rPr>
          <w:rFonts w:hint="eastAsia" w:hAnsi="宋体" w:cs="宋体"/>
          <w:color w:val="000000" w:themeColor="text1"/>
          <w:sz w:val="28"/>
          <w:szCs w:val="28"/>
          <w14:textFill>
            <w14:solidFill>
              <w14:schemeClr w14:val="tx1"/>
            </w14:solidFill>
          </w14:textFill>
        </w:rPr>
        <w:t>。</w:t>
      </w:r>
    </w:p>
    <w:p w14:paraId="6EC517FD">
      <w:pPr>
        <w:spacing w:line="500" w:lineRule="exact"/>
        <w:jc w:val="center"/>
        <w:rPr>
          <w:rFonts w:ascii="Times New Roman"/>
          <w:b/>
          <w:bCs/>
          <w:color w:val="000000" w:themeColor="text1"/>
          <w14:textFill>
            <w14:solidFill>
              <w14:schemeClr w14:val="tx1"/>
            </w14:solidFill>
          </w14:textFill>
        </w:rPr>
      </w:pPr>
      <w:r>
        <w:rPr>
          <w:rFonts w:ascii="Times New Roman"/>
          <w:b/>
          <w:bCs/>
          <w:color w:val="000000" w:themeColor="text1"/>
          <w14:textFill>
            <w14:solidFill>
              <w14:schemeClr w14:val="tx1"/>
            </w14:solidFill>
          </w14:textFill>
        </w:rPr>
        <w:t>表5-</w:t>
      </w:r>
      <w:r>
        <w:rPr>
          <w:rFonts w:hint="eastAsia" w:ascii="Times New Roman"/>
          <w:b/>
          <w:bCs/>
          <w:color w:val="000000" w:themeColor="text1"/>
          <w:lang w:val="en-US" w:eastAsia="zh-CN"/>
          <w14:textFill>
            <w14:solidFill>
              <w14:schemeClr w14:val="tx1"/>
            </w14:solidFill>
          </w14:textFill>
        </w:rPr>
        <w:t>7</w:t>
      </w:r>
      <w:r>
        <w:rPr>
          <w:rFonts w:ascii="Times New Roman"/>
          <w:b/>
          <w:bCs/>
          <w:color w:val="000000" w:themeColor="text1"/>
          <w14:textFill>
            <w14:solidFill>
              <w14:schemeClr w14:val="tx1"/>
            </w14:solidFill>
          </w14:textFill>
        </w:rPr>
        <w:t xml:space="preserve">  给排水安全检查表</w:t>
      </w:r>
    </w:p>
    <w:tbl>
      <w:tblPr>
        <w:tblStyle w:val="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3838"/>
        <w:gridCol w:w="2160"/>
        <w:gridCol w:w="1320"/>
        <w:gridCol w:w="676"/>
      </w:tblGrid>
      <w:tr w14:paraId="1E4F6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53813D65">
            <w:pPr>
              <w:tabs>
                <w:tab w:val="left" w:pos="810"/>
              </w:tabs>
              <w:jc w:val="left"/>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r>
              <w:rPr>
                <w:rFonts w:hint="eastAsia" w:ascii="宋体" w:hAnsi="宋体" w:eastAsia="宋体" w:cs="宋体"/>
                <w:color w:val="000000" w:themeColor="text1"/>
                <w:sz w:val="21"/>
                <w:szCs w:val="21"/>
                <w14:textFill>
                  <w14:solidFill>
                    <w14:schemeClr w14:val="tx1"/>
                  </w14:solidFill>
                </w14:textFill>
              </w:rPr>
              <w:tab/>
            </w:r>
            <w:r>
              <w:rPr>
                <w:rFonts w:hint="eastAsia" w:ascii="宋体" w:hAnsi="宋体" w:eastAsia="宋体" w:cs="宋体"/>
                <w:b/>
                <w:color w:val="000000" w:themeColor="text1"/>
                <w:sz w:val="21"/>
                <w:szCs w:val="21"/>
                <w14:textFill>
                  <w14:solidFill>
                    <w14:schemeClr w14:val="tx1"/>
                  </w14:solidFill>
                </w14:textFill>
              </w:rPr>
              <w:t>序号</w:t>
            </w:r>
          </w:p>
        </w:tc>
        <w:tc>
          <w:tcPr>
            <w:tcW w:w="3838" w:type="dxa"/>
            <w:vAlign w:val="center"/>
          </w:tcPr>
          <w:p w14:paraId="1CAAB471">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60" w:type="dxa"/>
            <w:vAlign w:val="center"/>
          </w:tcPr>
          <w:p w14:paraId="463FB8DD">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1320" w:type="dxa"/>
            <w:vAlign w:val="center"/>
          </w:tcPr>
          <w:p w14:paraId="10ECA172">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676" w:type="dxa"/>
            <w:vAlign w:val="center"/>
          </w:tcPr>
          <w:p w14:paraId="6FE4DFA6">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344FD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2D8B2299">
            <w:pPr>
              <w:snapToGrid w:val="0"/>
              <w:jc w:val="center"/>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1</w:t>
            </w:r>
          </w:p>
        </w:tc>
        <w:tc>
          <w:tcPr>
            <w:tcW w:w="3838" w:type="dxa"/>
            <w:vAlign w:val="center"/>
          </w:tcPr>
          <w:p w14:paraId="107748A1">
            <w:pPr>
              <w:keepNext w:val="0"/>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场地应有完整、有效的雨水排水系统。场地雨水的排除方式，应结合工业企业所在地区的雨水排除方式、建筑密度、环境卫生要求、地质和气候条件等因素，合理选择暗管、明沟或地面自然排渗等方式，并应符合下列要求：（1）厂区雨水排水管、沟应与厂外排雨水系统相衔接，场地雨水不得任意排至厂外；（2）有条件的工业企业应建立雨水收集系统，应对收集的雨水充分利用；（3）厂区雨水宜采用暗管排水。</w:t>
            </w:r>
          </w:p>
        </w:tc>
        <w:tc>
          <w:tcPr>
            <w:tcW w:w="2160" w:type="dxa"/>
            <w:vAlign w:val="center"/>
          </w:tcPr>
          <w:p w14:paraId="4D88CF8D">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3B09E706">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w:t>
            </w: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条</w:t>
            </w:r>
          </w:p>
        </w:tc>
        <w:tc>
          <w:tcPr>
            <w:tcW w:w="1320" w:type="dxa"/>
            <w:vAlign w:val="center"/>
          </w:tcPr>
          <w:p w14:paraId="6FDFC041">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本项目有较为完整、有效的排水系统。</w:t>
            </w:r>
          </w:p>
        </w:tc>
        <w:tc>
          <w:tcPr>
            <w:tcW w:w="676" w:type="dxa"/>
            <w:vAlign w:val="center"/>
          </w:tcPr>
          <w:p w14:paraId="375EFB5A">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75A5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7BAB8048">
            <w:pPr>
              <w:snapToGrid w:val="0"/>
              <w:jc w:val="center"/>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2</w:t>
            </w:r>
          </w:p>
        </w:tc>
        <w:tc>
          <w:tcPr>
            <w:tcW w:w="3838" w:type="dxa"/>
            <w:vAlign w:val="center"/>
          </w:tcPr>
          <w:p w14:paraId="2E7C8FB0">
            <w:pPr>
              <w:snapToGrid w:val="0"/>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场地雨水排水设计流量计算，应符合现行国家标准《室外排水设计</w:t>
            </w:r>
            <w:r>
              <w:rPr>
                <w:rFonts w:hint="eastAsia" w:ascii="宋体" w:hAnsi="宋体" w:eastAsia="宋体" w:cs="宋体"/>
                <w:color w:val="000000" w:themeColor="text1"/>
                <w:sz w:val="21"/>
                <w:szCs w:val="21"/>
                <w:lang w:eastAsia="zh-CN"/>
                <w14:textFill>
                  <w14:solidFill>
                    <w14:schemeClr w14:val="tx1"/>
                  </w14:solidFill>
                </w14:textFill>
              </w:rPr>
              <w:t>规范</w:t>
            </w:r>
            <w:r>
              <w:rPr>
                <w:rFonts w:hint="eastAsia" w:ascii="宋体" w:hAnsi="宋体" w:eastAsia="宋体" w:cs="宋体"/>
                <w:color w:val="000000" w:themeColor="text1"/>
                <w:sz w:val="21"/>
                <w:szCs w:val="21"/>
                <w14:textFill>
                  <w14:solidFill>
                    <w14:schemeClr w14:val="tx1"/>
                  </w14:solidFill>
                </w14:textFill>
              </w:rPr>
              <w:t>》GB 50014的有关规定。</w:t>
            </w:r>
          </w:p>
        </w:tc>
        <w:tc>
          <w:tcPr>
            <w:tcW w:w="2160" w:type="dxa"/>
            <w:vAlign w:val="center"/>
          </w:tcPr>
          <w:p w14:paraId="25FCBF3D">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61894041">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条</w:t>
            </w:r>
          </w:p>
        </w:tc>
        <w:tc>
          <w:tcPr>
            <w:tcW w:w="1320" w:type="dxa"/>
            <w:vAlign w:val="center"/>
          </w:tcPr>
          <w:p w14:paraId="22CBC0EC">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本项目场地雨水排量符合相关要求。</w:t>
            </w:r>
          </w:p>
        </w:tc>
        <w:tc>
          <w:tcPr>
            <w:tcW w:w="676" w:type="dxa"/>
            <w:vAlign w:val="center"/>
          </w:tcPr>
          <w:p w14:paraId="465B01F6">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072E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4AEB9D4E">
            <w:pPr>
              <w:snapToGrid w:val="0"/>
              <w:jc w:val="center"/>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3</w:t>
            </w:r>
          </w:p>
        </w:tc>
        <w:tc>
          <w:tcPr>
            <w:tcW w:w="3838" w:type="dxa"/>
            <w:vAlign w:val="center"/>
          </w:tcPr>
          <w:p w14:paraId="12829C54">
            <w:pPr>
              <w:snapToGrid w:val="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当采用明沟排水时，排水沟宜沿铁路、道路布置，并宜避免与其交叉。排出厂外的雨水，不得对其它工程设施或农田造成危害。</w:t>
            </w:r>
          </w:p>
        </w:tc>
        <w:tc>
          <w:tcPr>
            <w:tcW w:w="2160" w:type="dxa"/>
            <w:vAlign w:val="center"/>
          </w:tcPr>
          <w:p w14:paraId="4338C3AF">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0A456ADB">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w:t>
            </w:r>
            <w:r>
              <w:rPr>
                <w:rFonts w:hint="eastAsia" w:ascii="宋体" w:hAnsi="宋体" w:eastAsia="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条</w:t>
            </w:r>
          </w:p>
        </w:tc>
        <w:tc>
          <w:tcPr>
            <w:tcW w:w="1320" w:type="dxa"/>
            <w:vAlign w:val="center"/>
          </w:tcPr>
          <w:p w14:paraId="4890FDDE">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采用明沟排水，明沟沿道路设置，不会对其他设施造成危害。</w:t>
            </w:r>
          </w:p>
        </w:tc>
        <w:tc>
          <w:tcPr>
            <w:tcW w:w="676" w:type="dxa"/>
            <w:vAlign w:val="center"/>
          </w:tcPr>
          <w:p w14:paraId="7BBE3B5F">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7E32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7243E9FD">
            <w:pPr>
              <w:snapToGrid w:val="0"/>
              <w:jc w:val="center"/>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4</w:t>
            </w:r>
          </w:p>
        </w:tc>
        <w:tc>
          <w:tcPr>
            <w:tcW w:w="3838" w:type="dxa"/>
            <w:vAlign w:val="center"/>
          </w:tcPr>
          <w:p w14:paraId="35B8CAE1">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排水明沟的铺砌方式，应根据所处地段的土质和流速等情况确定，应符合下列规定：（1）厂区明沟宜加铺砌；（2）对厂容、卫生和安全要求较高的地段，尚应铺设盖板；（3）矿山及厂区的边缘地段，可采用土明沟。</w:t>
            </w:r>
          </w:p>
        </w:tc>
        <w:tc>
          <w:tcPr>
            <w:tcW w:w="2160" w:type="dxa"/>
            <w:vAlign w:val="center"/>
          </w:tcPr>
          <w:p w14:paraId="6F494BEC">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45888448">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2012）第7.4.5条</w:t>
            </w:r>
          </w:p>
        </w:tc>
        <w:tc>
          <w:tcPr>
            <w:tcW w:w="1320" w:type="dxa"/>
            <w:vAlign w:val="center"/>
          </w:tcPr>
          <w:p w14:paraId="64F7A395">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本项目的排水设施均按要求进行了布置。</w:t>
            </w:r>
          </w:p>
        </w:tc>
        <w:tc>
          <w:tcPr>
            <w:tcW w:w="676" w:type="dxa"/>
            <w:vAlign w:val="center"/>
          </w:tcPr>
          <w:p w14:paraId="403246D7">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33CC2DE1">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782" w:name="_Toc30632"/>
      <w:bookmarkStart w:id="783" w:name="_Toc18522"/>
      <w:bookmarkStart w:id="784" w:name="_Toc267853224"/>
      <w:bookmarkStart w:id="785" w:name="_Toc335838637"/>
      <w:bookmarkStart w:id="786" w:name="_Toc278282328"/>
      <w:bookmarkStart w:id="787" w:name="_Toc7538"/>
      <w:bookmarkStart w:id="788" w:name="_Toc335926303"/>
      <w:bookmarkStart w:id="789" w:name="_Toc313493995"/>
      <w:bookmarkStart w:id="790" w:name="_Toc433009883"/>
      <w:bookmarkStart w:id="791" w:name="_Toc278282330"/>
      <w:bookmarkStart w:id="792" w:name="_Toc211237914"/>
      <w:r>
        <w:rPr>
          <w:rFonts w:hint="default" w:ascii="Times New Roman" w:hAnsi="Times New Roman" w:eastAsia="黑体" w:cs="Times New Roman"/>
          <w:color w:val="000000" w:themeColor="text1"/>
          <w:lang w:val="en-US" w:eastAsia="zh-CN"/>
          <w14:textFill>
            <w14:solidFill>
              <w14:schemeClr w14:val="tx1"/>
            </w14:solidFill>
          </w14:textFill>
        </w:rPr>
        <w:t>5.</w:t>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eastAsia="黑体"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eastAsia="黑体"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lang w:val="en-US" w:eastAsia="zh-CN"/>
          <w14:textFill>
            <w14:solidFill>
              <w14:schemeClr w14:val="tx1"/>
            </w14:solidFill>
          </w14:textFill>
        </w:rPr>
        <w:t>消防</w:t>
      </w:r>
      <w:r>
        <w:rPr>
          <w:rFonts w:hint="eastAsia" w:ascii="Times New Roman" w:hAnsi="Times New Roman" w:eastAsia="黑体" w:cs="Times New Roman"/>
          <w:color w:val="000000" w:themeColor="text1"/>
          <w:lang w:val="en-US" w:eastAsia="zh-CN"/>
          <w14:textFill>
            <w14:solidFill>
              <w14:schemeClr w14:val="tx1"/>
            </w14:solidFill>
          </w14:textFill>
        </w:rPr>
        <w:t>系统</w:t>
      </w:r>
      <w:r>
        <w:rPr>
          <w:rFonts w:hint="eastAsia" w:ascii="Times New Roman" w:hAnsi="Times New Roman" w:cs="Times New Roman"/>
          <w:color w:val="000000" w:themeColor="text1"/>
          <w:lang w:val="en-US" w:eastAsia="zh-CN"/>
          <w14:textFill>
            <w14:solidFill>
              <w14:schemeClr w14:val="tx1"/>
            </w14:solidFill>
          </w14:textFill>
        </w:rPr>
        <w:t>安全检查表</w:t>
      </w:r>
      <w:bookmarkEnd w:id="782"/>
    </w:p>
    <w:bookmarkEnd w:id="783"/>
    <w:bookmarkEnd w:id="784"/>
    <w:bookmarkEnd w:id="785"/>
    <w:bookmarkEnd w:id="786"/>
    <w:bookmarkEnd w:id="787"/>
    <w:bookmarkEnd w:id="788"/>
    <w:p w14:paraId="786A8D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依据《中华人民共和国消防法》</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《建筑灭火器配置设计规范》（GB50140-2005）、《建筑设计防火规范（2018版）》（GB50016-2014）等相关法律法规、标准规范的要求，对该厂的消防进行安全检查。检查结果见下表。</w:t>
      </w:r>
    </w:p>
    <w:p w14:paraId="60A6EBEA">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w:t>
      </w:r>
      <w:r>
        <w:rPr>
          <w:rFonts w:hint="eastAsia" w:ascii="宋体" w:hAnsi="宋体" w:eastAsia="宋体" w:cs="宋体"/>
          <w:b/>
          <w:bCs/>
          <w:color w:val="000000" w:themeColor="text1"/>
          <w:lang w:val="en-US" w:eastAsia="zh-CN"/>
          <w14:textFill>
            <w14:solidFill>
              <w14:schemeClr w14:val="tx1"/>
            </w14:solidFill>
          </w14:textFill>
        </w:rPr>
        <w:t>8</w:t>
      </w:r>
      <w:r>
        <w:rPr>
          <w:rFonts w:hint="eastAsia" w:ascii="宋体" w:hAnsi="宋体" w:eastAsia="宋体" w:cs="宋体"/>
          <w:b/>
          <w:bCs/>
          <w:color w:val="000000" w:themeColor="text1"/>
          <w14:textFill>
            <w14:solidFill>
              <w14:schemeClr w14:val="tx1"/>
            </w14:solidFill>
          </w14:textFill>
        </w:rPr>
        <w:t xml:space="preserve">  消防系统安全检查表</w:t>
      </w:r>
    </w:p>
    <w:tbl>
      <w:tblPr>
        <w:tblStyle w:val="51"/>
        <w:tblW w:w="51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4"/>
        <w:gridCol w:w="3510"/>
        <w:gridCol w:w="2475"/>
        <w:gridCol w:w="1779"/>
        <w:gridCol w:w="652"/>
      </w:tblGrid>
      <w:tr w14:paraId="77239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72" w:type="pct"/>
            <w:tcBorders>
              <w:top w:val="single" w:color="auto" w:sz="4" w:space="0"/>
              <w:left w:val="single" w:color="auto" w:sz="4" w:space="0"/>
              <w:bottom w:val="single" w:color="auto" w:sz="4" w:space="0"/>
              <w:right w:val="single" w:color="auto" w:sz="4" w:space="0"/>
            </w:tcBorders>
            <w:vAlign w:val="center"/>
          </w:tcPr>
          <w:p w14:paraId="6F9C7727">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1971" w:type="pct"/>
            <w:tcBorders>
              <w:top w:val="single" w:color="auto" w:sz="4" w:space="0"/>
              <w:left w:val="single" w:color="auto" w:sz="4" w:space="0"/>
              <w:bottom w:val="single" w:color="auto" w:sz="4" w:space="0"/>
              <w:right w:val="single" w:color="auto" w:sz="4" w:space="0"/>
            </w:tcBorders>
            <w:vAlign w:val="center"/>
          </w:tcPr>
          <w:p w14:paraId="283ECD30">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检查内容</w:t>
            </w:r>
          </w:p>
        </w:tc>
        <w:tc>
          <w:tcPr>
            <w:tcW w:w="1390" w:type="pct"/>
            <w:tcBorders>
              <w:top w:val="single" w:color="auto" w:sz="4" w:space="0"/>
              <w:left w:val="single" w:color="auto" w:sz="4" w:space="0"/>
              <w:bottom w:val="single" w:color="auto" w:sz="4" w:space="0"/>
              <w:right w:val="single" w:color="auto" w:sz="4" w:space="0"/>
            </w:tcBorders>
            <w:vAlign w:val="center"/>
          </w:tcPr>
          <w:p w14:paraId="2F8D7DC6">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依据标准</w:t>
            </w:r>
          </w:p>
        </w:tc>
        <w:tc>
          <w:tcPr>
            <w:tcW w:w="999" w:type="pct"/>
            <w:tcBorders>
              <w:top w:val="single" w:color="auto" w:sz="4" w:space="0"/>
              <w:left w:val="single" w:color="auto" w:sz="4" w:space="0"/>
              <w:bottom w:val="single" w:color="auto" w:sz="4" w:space="0"/>
              <w:right w:val="single" w:color="auto" w:sz="4" w:space="0"/>
            </w:tcBorders>
            <w:vAlign w:val="center"/>
          </w:tcPr>
          <w:p w14:paraId="2E9FB567">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检查情况</w:t>
            </w:r>
          </w:p>
        </w:tc>
        <w:tc>
          <w:tcPr>
            <w:tcW w:w="366" w:type="pct"/>
            <w:tcBorders>
              <w:top w:val="single" w:color="auto" w:sz="4" w:space="0"/>
              <w:left w:val="single" w:color="auto" w:sz="4" w:space="0"/>
              <w:bottom w:val="single" w:color="auto" w:sz="4" w:space="0"/>
              <w:right w:val="single" w:color="auto" w:sz="4" w:space="0"/>
            </w:tcBorders>
            <w:vAlign w:val="center"/>
          </w:tcPr>
          <w:p w14:paraId="6FB9C7E5">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结论</w:t>
            </w:r>
          </w:p>
        </w:tc>
      </w:tr>
      <w:tr w14:paraId="5BC9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4" w:type="dxa"/>
            <w:tcBorders>
              <w:top w:val="single" w:color="auto" w:sz="4" w:space="0"/>
              <w:left w:val="single" w:color="auto" w:sz="4" w:space="0"/>
              <w:bottom w:val="single" w:color="auto" w:sz="4" w:space="0"/>
              <w:right w:val="single" w:color="auto" w:sz="4" w:space="0"/>
            </w:tcBorders>
            <w:vAlign w:val="center"/>
          </w:tcPr>
          <w:p w14:paraId="74B293FE">
            <w:pPr>
              <w:numPr>
                <w:ilvl w:val="0"/>
                <w:numId w:val="15"/>
              </w:numPr>
              <w:adjustRightInd w:val="0"/>
              <w:snapToGrid w:val="0"/>
              <w:spacing w:line="300" w:lineRule="exact"/>
              <w:ind w:left="420" w:leftChars="0" w:hanging="420"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2" w:type="dxa"/>
            <w:tcBorders>
              <w:top w:val="single" w:color="auto" w:sz="4" w:space="0"/>
              <w:left w:val="single" w:color="auto" w:sz="4" w:space="0"/>
              <w:bottom w:val="single" w:color="auto" w:sz="4" w:space="0"/>
              <w:right w:val="single" w:color="auto" w:sz="4" w:space="0"/>
            </w:tcBorders>
            <w:vAlign w:val="center"/>
          </w:tcPr>
          <w:p w14:paraId="7DE01626">
            <w:pPr>
              <w:pStyle w:val="180"/>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按照国家标准、行业标准配置消防设施、器材，设置消防安全标志，并定期组织检验、维修，确保完好有效。</w:t>
            </w:r>
          </w:p>
        </w:tc>
        <w:tc>
          <w:tcPr>
            <w:tcW w:w="2421" w:type="dxa"/>
            <w:tcBorders>
              <w:top w:val="single" w:color="auto" w:sz="4" w:space="0"/>
              <w:left w:val="single" w:color="auto" w:sz="4" w:space="0"/>
              <w:bottom w:val="single" w:color="auto" w:sz="4" w:space="0"/>
              <w:right w:val="single" w:color="auto" w:sz="4" w:space="0"/>
            </w:tcBorders>
            <w:vAlign w:val="center"/>
          </w:tcPr>
          <w:p w14:paraId="6766315C">
            <w:pPr>
              <w:pStyle w:val="180"/>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《中华人民共和国消防法》第十六条</w:t>
            </w:r>
          </w:p>
        </w:tc>
        <w:tc>
          <w:tcPr>
            <w:tcW w:w="1740" w:type="dxa"/>
            <w:tcBorders>
              <w:top w:val="single" w:color="auto" w:sz="4" w:space="0"/>
              <w:left w:val="single" w:color="auto" w:sz="4" w:space="0"/>
              <w:bottom w:val="single" w:color="auto" w:sz="4" w:space="0"/>
              <w:right w:val="single" w:color="auto" w:sz="4" w:space="0"/>
            </w:tcBorders>
            <w:vAlign w:val="center"/>
          </w:tcPr>
          <w:p w14:paraId="6482F2E9">
            <w:pPr>
              <w:pStyle w:val="180"/>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该项目消防器材、设施等完好有效。</w:t>
            </w:r>
          </w:p>
        </w:tc>
        <w:tc>
          <w:tcPr>
            <w:tcW w:w="366" w:type="pct"/>
            <w:tcBorders>
              <w:top w:val="single" w:color="auto" w:sz="4" w:space="0"/>
              <w:left w:val="single" w:color="auto" w:sz="4" w:space="0"/>
              <w:bottom w:val="single" w:color="auto" w:sz="4" w:space="0"/>
              <w:right w:val="single" w:color="auto" w:sz="4" w:space="0"/>
            </w:tcBorders>
            <w:vAlign w:val="center"/>
          </w:tcPr>
          <w:p w14:paraId="5F76DB1C">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716D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tcBorders>
              <w:top w:val="single" w:color="auto" w:sz="4" w:space="0"/>
              <w:left w:val="single" w:color="auto" w:sz="4" w:space="0"/>
              <w:bottom w:val="single" w:color="auto" w:sz="4" w:space="0"/>
              <w:right w:val="single" w:color="auto" w:sz="4" w:space="0"/>
            </w:tcBorders>
            <w:vAlign w:val="center"/>
          </w:tcPr>
          <w:p w14:paraId="6A3B2E0B">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971" w:type="pct"/>
            <w:tcBorders>
              <w:top w:val="single" w:color="auto" w:sz="4" w:space="0"/>
              <w:left w:val="single" w:color="auto" w:sz="4" w:space="0"/>
              <w:bottom w:val="single" w:color="auto" w:sz="4" w:space="0"/>
              <w:right w:val="single" w:color="auto" w:sz="4" w:space="0"/>
            </w:tcBorders>
            <w:vAlign w:val="center"/>
          </w:tcPr>
          <w:p w14:paraId="3C22C5AA">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灭火器应设置在位置明显和便于取用的地点，且不得影响安全疏散。</w:t>
            </w:r>
          </w:p>
        </w:tc>
        <w:tc>
          <w:tcPr>
            <w:tcW w:w="1390" w:type="pct"/>
            <w:tcBorders>
              <w:top w:val="single" w:color="auto" w:sz="4" w:space="0"/>
              <w:left w:val="single" w:color="auto" w:sz="4" w:space="0"/>
              <w:bottom w:val="single" w:color="auto" w:sz="4" w:space="0"/>
              <w:right w:val="single" w:color="auto" w:sz="4" w:space="0"/>
            </w:tcBorders>
            <w:vAlign w:val="center"/>
          </w:tcPr>
          <w:p w14:paraId="05803A27">
            <w:pPr>
              <w:snapToGrid w:val="0"/>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50140-2005）</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5.1.1</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999" w:type="pct"/>
            <w:tcBorders>
              <w:top w:val="single" w:color="auto" w:sz="4" w:space="0"/>
              <w:left w:val="single" w:color="auto" w:sz="4" w:space="0"/>
              <w:bottom w:val="single" w:color="auto" w:sz="4" w:space="0"/>
              <w:right w:val="single" w:color="auto" w:sz="4" w:space="0"/>
            </w:tcBorders>
            <w:vAlign w:val="center"/>
          </w:tcPr>
          <w:p w14:paraId="776335F9">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该项目灭火器设置在明显和便于取用的地点，且不影响安全疏散。</w:t>
            </w:r>
          </w:p>
        </w:tc>
        <w:tc>
          <w:tcPr>
            <w:tcW w:w="366" w:type="pct"/>
            <w:tcBorders>
              <w:top w:val="single" w:color="auto" w:sz="4" w:space="0"/>
              <w:left w:val="single" w:color="auto" w:sz="4" w:space="0"/>
              <w:bottom w:val="single" w:color="auto" w:sz="4" w:space="0"/>
              <w:right w:val="single" w:color="auto" w:sz="4" w:space="0"/>
            </w:tcBorders>
            <w:vAlign w:val="center"/>
          </w:tcPr>
          <w:p w14:paraId="6F924C00">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73FB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tcBorders>
              <w:top w:val="single" w:color="auto" w:sz="4" w:space="0"/>
              <w:left w:val="single" w:color="auto" w:sz="4" w:space="0"/>
              <w:bottom w:val="single" w:color="auto" w:sz="4" w:space="0"/>
              <w:right w:val="single" w:color="auto" w:sz="4" w:space="0"/>
            </w:tcBorders>
            <w:vAlign w:val="center"/>
          </w:tcPr>
          <w:p w14:paraId="43796D99">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 3</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10CF616A">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灭火器不宜设置在潮湿或强腐蚀性的地点。当必须设置时，应有相应的保护措施。</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5CFF5D29">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6B4E768E">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第5.1.4条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1766A65F">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该项目灭火器基本未设置在潮湿或强腐蚀性的地点。</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680A020">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9F84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tcBorders>
              <w:top w:val="single" w:color="auto" w:sz="4" w:space="0"/>
              <w:left w:val="single" w:color="auto" w:sz="4" w:space="0"/>
              <w:bottom w:val="single" w:color="auto" w:sz="4" w:space="0"/>
              <w:right w:val="single" w:color="auto" w:sz="4" w:space="0"/>
            </w:tcBorders>
            <w:vAlign w:val="center"/>
          </w:tcPr>
          <w:p w14:paraId="7D46C61A">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68DC4E6A">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灭火器不得设置在超出其使用温度范围的地点。</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3FCD34E8">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04F16ED9">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第5.1.5条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39A3ADD9">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该项目灭火器的使用温度均在允许范围内。</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272C9BB2">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1F99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tcBorders>
              <w:top w:val="single" w:color="auto" w:sz="4" w:space="0"/>
              <w:left w:val="single" w:color="auto" w:sz="4" w:space="0"/>
              <w:bottom w:val="single" w:color="auto" w:sz="4" w:space="0"/>
              <w:right w:val="single" w:color="auto" w:sz="4" w:space="0"/>
            </w:tcBorders>
            <w:vAlign w:val="center"/>
          </w:tcPr>
          <w:p w14:paraId="28C3B2F7">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287B8B0E">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一个计算单元内配置的灭火器数量不得少于2具。</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5E3C04AB">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29CA51D0">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第6.1.1条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5F6311CF">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该项目建构筑物内灭火器的配置数量符合规范要求。</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8804763">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70F8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tcBorders>
              <w:top w:val="single" w:color="auto" w:sz="4" w:space="0"/>
              <w:left w:val="single" w:color="auto" w:sz="4" w:space="0"/>
              <w:bottom w:val="single" w:color="auto" w:sz="4" w:space="0"/>
              <w:right w:val="single" w:color="auto" w:sz="4" w:space="0"/>
            </w:tcBorders>
            <w:vAlign w:val="center"/>
          </w:tcPr>
          <w:p w14:paraId="3AB4A6D5">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7F97E53A">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每个灭火器设置点实配灭火器的灭火级别和数量不得小于最小需配灭火级别和数量的计算值。</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65891626">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6DE8EB9D">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第7.1.2条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1DA67C66">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该项目每个灭火器设置点实配灭火器的灭火级别和数量符合要求。</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82F2D16">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bookmarkEnd w:id="789"/>
    </w:tbl>
    <w:p w14:paraId="068B41EF">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793" w:name="_Toc22064"/>
      <w:bookmarkStart w:id="794" w:name="_Toc14804"/>
      <w:r>
        <w:rPr>
          <w:rFonts w:hint="default" w:ascii="Times New Roman" w:hAnsi="Times New Roman" w:eastAsia="黑体" w:cs="Times New Roman"/>
          <w:color w:val="000000" w:themeColor="text1"/>
          <w:lang w:val="en-US" w:eastAsia="zh-CN"/>
          <w14:textFill>
            <w14:solidFill>
              <w14:schemeClr w14:val="tx1"/>
            </w14:solidFill>
          </w14:textFill>
        </w:rPr>
        <w:t>5.</w:t>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eastAsia="黑体"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4 </w:t>
      </w:r>
      <w:r>
        <w:rPr>
          <w:rFonts w:hint="default" w:ascii="Times New Roman" w:hAnsi="Times New Roman" w:eastAsia="黑体" w:cs="Times New Roman"/>
          <w:color w:val="000000" w:themeColor="text1"/>
          <w:lang w:val="en-US" w:eastAsia="zh-CN"/>
          <w14:textFill>
            <w14:solidFill>
              <w14:schemeClr w14:val="tx1"/>
            </w14:solidFill>
          </w14:textFill>
        </w:rPr>
        <w:t>单元小结</w:t>
      </w:r>
      <w:bookmarkEnd w:id="790"/>
      <w:bookmarkEnd w:id="791"/>
      <w:bookmarkEnd w:id="792"/>
      <w:bookmarkEnd w:id="793"/>
      <w:bookmarkEnd w:id="794"/>
    </w:p>
    <w:p w14:paraId="0FAA7F2C">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供配电系统基本按照《低压配电设计规范》（GB50054-2011）及《用电安全导则》（GB/T13869-2017）等标准规范的规定等国家相关的标准规范要求；结合公司现场实际情况，该公司的电气设备具备安全生产的条件；</w:t>
      </w:r>
    </w:p>
    <w:p w14:paraId="1ADD7EDF">
      <w:pPr>
        <w:pStyle w:val="2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安全检查表分析评价结果：该项目的给排水符合《工业企业总平面设计规范》（GB50187-2012）要求；</w:t>
      </w:r>
    </w:p>
    <w:p w14:paraId="262CEF31">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安全检查表分析评价结果：该项目的消防设施建设基本符合《中华人民共和国消防法》、《建筑灭火器配置设计规范》（GB50140-2005）等相关法律法规、标准规范的要求</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但需消防部门出具的消防验收意见书作为存档材料。</w:t>
      </w:r>
    </w:p>
    <w:bookmarkEnd w:id="769"/>
    <w:bookmarkEnd w:id="770"/>
    <w:bookmarkEnd w:id="771"/>
    <w:bookmarkEnd w:id="772"/>
    <w:bookmarkEnd w:id="773"/>
    <w:p w14:paraId="45BF4E3B">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795" w:name="_Hlt145775763"/>
      <w:bookmarkEnd w:id="795"/>
      <w:bookmarkStart w:id="796" w:name="_Toc145775755"/>
      <w:bookmarkStart w:id="797" w:name="_Toc133428988"/>
      <w:bookmarkStart w:id="798" w:name="_Toc28491"/>
      <w:bookmarkStart w:id="799" w:name="_Toc27135"/>
      <w:bookmarkStart w:id="800" w:name="_Toc17918"/>
      <w:bookmarkStart w:id="801" w:name="_Toc25067"/>
      <w:bookmarkStart w:id="802" w:name="_Toc313453623"/>
      <w:bookmarkStart w:id="803" w:name="_Toc335926312"/>
      <w:bookmarkStart w:id="804" w:name="_Toc11562"/>
      <w:r>
        <w:rPr>
          <w:rFonts w:hint="default" w:ascii="Times New Roman" w:hAnsi="Times New Roman" w:eastAsia="楷体" w:cs="Times New Roman"/>
          <w:color w:val="000000" w:themeColor="text1"/>
          <w14:textFill>
            <w14:solidFill>
              <w14:schemeClr w14:val="tx1"/>
            </w14:solidFill>
          </w14:textFill>
        </w:rPr>
        <w:t>5.5</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安全生产管理评价</w:t>
      </w:r>
      <w:bookmarkEnd w:id="796"/>
      <w:bookmarkEnd w:id="797"/>
      <w:r>
        <w:rPr>
          <w:rFonts w:hint="default" w:ascii="Times New Roman" w:hAnsi="Times New Roman" w:eastAsia="楷体" w:cs="Times New Roman"/>
          <w:color w:val="000000" w:themeColor="text1"/>
          <w14:textFill>
            <w14:solidFill>
              <w14:schemeClr w14:val="tx1"/>
            </w14:solidFill>
          </w14:textFill>
        </w:rPr>
        <w:t>单元</w:t>
      </w:r>
      <w:bookmarkEnd w:id="798"/>
      <w:bookmarkEnd w:id="799"/>
      <w:bookmarkEnd w:id="800"/>
      <w:bookmarkEnd w:id="801"/>
      <w:bookmarkEnd w:id="802"/>
      <w:bookmarkEnd w:id="803"/>
      <w:bookmarkEnd w:id="804"/>
    </w:p>
    <w:p w14:paraId="4C7626D9">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heme="minorEastAsia" w:hAnsiTheme="minorEastAsia" w:eastAsiaTheme="minorEastAsia"/>
          <w:snapToGrid w:val="0"/>
          <w:color w:val="000000" w:themeColor="text1"/>
          <w14:textFill>
            <w14:solidFill>
              <w14:schemeClr w14:val="tx1"/>
            </w14:solidFill>
          </w14:textFill>
        </w:rPr>
      </w:pPr>
      <w:bookmarkStart w:id="805" w:name="_Toc365119548"/>
      <w:bookmarkStart w:id="806" w:name="_Toc403746183"/>
      <w:bookmarkStart w:id="807" w:name="_Toc8165"/>
      <w:bookmarkStart w:id="808" w:name="_Toc5340"/>
      <w:bookmarkStart w:id="809" w:name="_Toc23196"/>
      <w:bookmarkStart w:id="810" w:name="_Toc61474481"/>
      <w:bookmarkStart w:id="811" w:name="_Toc30001458"/>
      <w:bookmarkStart w:id="812" w:name="_Toc14999"/>
      <w:bookmarkStart w:id="813" w:name="_Toc4740"/>
      <w:r>
        <w:rPr>
          <w:rFonts w:hint="default" w:ascii="Times New Roman" w:hAnsi="Times New Roman" w:eastAsia="黑体" w:cs="Times New Roman"/>
          <w:color w:val="000000" w:themeColor="text1"/>
          <w:lang w:val="en-US" w:eastAsia="zh-CN"/>
          <w14:textFill>
            <w14:solidFill>
              <w14:schemeClr w14:val="tx1"/>
            </w14:solidFill>
          </w14:textFill>
        </w:rPr>
        <w:t>5.5.1安全管理</w:t>
      </w:r>
      <w:bookmarkEnd w:id="805"/>
      <w:bookmarkEnd w:id="806"/>
      <w:r>
        <w:rPr>
          <w:rFonts w:hint="default" w:ascii="Times New Roman" w:hAnsi="Times New Roman" w:eastAsia="黑体" w:cs="Times New Roman"/>
          <w:color w:val="000000" w:themeColor="text1"/>
          <w:lang w:val="en-US" w:eastAsia="zh-CN"/>
          <w14:textFill>
            <w14:solidFill>
              <w14:schemeClr w14:val="tx1"/>
            </w14:solidFill>
          </w14:textFill>
        </w:rPr>
        <w:t>检查表</w:t>
      </w:r>
      <w:bookmarkEnd w:id="807"/>
      <w:bookmarkEnd w:id="808"/>
      <w:bookmarkEnd w:id="809"/>
      <w:bookmarkEnd w:id="810"/>
      <w:bookmarkEnd w:id="811"/>
      <w:bookmarkEnd w:id="812"/>
      <w:bookmarkEnd w:id="813"/>
    </w:p>
    <w:p w14:paraId="68061DA5">
      <w:pPr>
        <w:pStyle w:val="216"/>
        <w:keepNext w:val="0"/>
        <w:keepLines w:val="0"/>
        <w:pageBreakBefore w:val="0"/>
        <w:widowControl w:val="0"/>
        <w:kinsoku/>
        <w:wordWrap/>
        <w:overflowPunct/>
        <w:topLinePunct w:val="0"/>
        <w:autoSpaceDE/>
        <w:autoSpaceDN/>
        <w:bidi w:val="0"/>
        <w:adjustRightInd/>
        <w:snapToGrid/>
        <w:textAlignment w:val="auto"/>
        <w:rPr>
          <w:rFonts w:hint="eastAsia" w:ascii="宋体" w:hAnsi="宋体" w:cs="宋体"/>
          <w:b/>
          <w:bCs/>
          <w:color w:val="000000" w:themeColor="text1"/>
          <w:szCs w:val="21"/>
          <w14:textFill>
            <w14:solidFill>
              <w14:schemeClr w14:val="tx1"/>
            </w14:solidFill>
          </w14:textFill>
        </w:rPr>
      </w:pPr>
      <w:r>
        <w:rPr>
          <w:rFonts w:hint="eastAsia" w:asciiTheme="minorEastAsia" w:hAnsiTheme="minorEastAsia" w:eastAsiaTheme="minorEastAsia"/>
          <w:snapToGrid w:val="0"/>
          <w:color w:val="000000" w:themeColor="text1"/>
          <w14:textFill>
            <w14:solidFill>
              <w14:schemeClr w14:val="tx1"/>
            </w14:solidFill>
          </w14:textFill>
        </w:rPr>
        <w:t>本节依据《中华人民共和国安全生产法》的相关要求，编制安全检查表对企业安全生产管理状况进行检查，检查结果见下表。</w:t>
      </w:r>
    </w:p>
    <w:p w14:paraId="39815BB4">
      <w:pPr>
        <w:tabs>
          <w:tab w:val="left" w:pos="851"/>
        </w:tabs>
        <w:adjustRightInd w:val="0"/>
        <w:snapToGrid w:val="0"/>
        <w:spacing w:line="240" w:lineRule="exact"/>
        <w:jc w:val="center"/>
        <w:rPr>
          <w:rFonts w:hint="eastAsia" w:ascii="宋体" w:hAnsi="宋体" w:cs="宋体"/>
          <w:b/>
          <w:bCs/>
          <w:color w:val="000000" w:themeColor="text1"/>
          <w:szCs w:val="21"/>
          <w14:textFill>
            <w14:solidFill>
              <w14:schemeClr w14:val="tx1"/>
            </w14:solidFill>
          </w14:textFill>
        </w:rPr>
      </w:pPr>
    </w:p>
    <w:p w14:paraId="7C28EBF3">
      <w:pPr>
        <w:tabs>
          <w:tab w:val="left" w:pos="851"/>
        </w:tabs>
        <w:adjustRightInd w:val="0"/>
        <w:snapToGrid w:val="0"/>
        <w:spacing w:line="240" w:lineRule="exact"/>
        <w:jc w:val="center"/>
        <w:rPr>
          <w:rFonts w:hint="eastAsia" w:ascii="宋体" w:hAnsi="宋体" w:cs="宋体"/>
          <w:b/>
          <w:bCs/>
          <w:color w:val="000000" w:themeColor="text1"/>
          <w:szCs w:val="21"/>
          <w14:textFill>
            <w14:solidFill>
              <w14:schemeClr w14:val="tx1"/>
            </w14:solidFill>
          </w14:textFill>
        </w:rPr>
      </w:pPr>
    </w:p>
    <w:p w14:paraId="6F4B53D9">
      <w:pPr>
        <w:tabs>
          <w:tab w:val="left" w:pos="851"/>
        </w:tabs>
        <w:adjustRightInd w:val="0"/>
        <w:snapToGrid w:val="0"/>
        <w:spacing w:line="240" w:lineRule="exact"/>
        <w:jc w:val="center"/>
        <w:rPr>
          <w:rFonts w:hint="eastAsia" w:ascii="宋体" w:hAnsi="宋体" w:cs="宋体"/>
          <w:b/>
          <w:bCs/>
          <w:color w:val="000000" w:themeColor="text1"/>
          <w:szCs w:val="21"/>
          <w14:textFill>
            <w14:solidFill>
              <w14:schemeClr w14:val="tx1"/>
            </w14:solidFill>
          </w14:textFill>
        </w:rPr>
      </w:pPr>
    </w:p>
    <w:p w14:paraId="1E4112A2">
      <w:pPr>
        <w:tabs>
          <w:tab w:val="left" w:pos="851"/>
        </w:tabs>
        <w:adjustRightInd w:val="0"/>
        <w:snapToGrid w:val="0"/>
        <w:spacing w:line="240" w:lineRule="exact"/>
        <w:jc w:val="center"/>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表5-</w:t>
      </w:r>
      <w:r>
        <w:rPr>
          <w:rFonts w:hint="eastAsia" w:hAnsi="宋体" w:cs="宋体"/>
          <w:b/>
          <w:bCs/>
          <w:color w:val="000000" w:themeColor="text1"/>
          <w:szCs w:val="21"/>
          <w:lang w:val="en-US" w:eastAsia="zh-CN"/>
          <w14:textFill>
            <w14:solidFill>
              <w14:schemeClr w14:val="tx1"/>
            </w14:solidFill>
          </w14:textFill>
        </w:rPr>
        <w:t>9</w:t>
      </w:r>
      <w:r>
        <w:rPr>
          <w:rFonts w:hint="eastAsia" w:ascii="宋体" w:hAnsi="宋体" w:cs="宋体"/>
          <w:b/>
          <w:bCs/>
          <w:color w:val="000000" w:themeColor="text1"/>
          <w:szCs w:val="21"/>
          <w14:textFill>
            <w14:solidFill>
              <w14:schemeClr w14:val="tx1"/>
            </w14:solidFill>
          </w14:textFill>
        </w:rPr>
        <w:t>安全生产管理检查表</w:t>
      </w:r>
    </w:p>
    <w:tbl>
      <w:tblPr>
        <w:tblStyle w:val="51"/>
        <w:tblW w:w="860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2"/>
        <w:gridCol w:w="3998"/>
        <w:gridCol w:w="1185"/>
        <w:gridCol w:w="1935"/>
        <w:gridCol w:w="701"/>
      </w:tblGrid>
      <w:tr w14:paraId="3E8CF1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1" w:hRule="atLeast"/>
          <w:tblHeader/>
        </w:trPr>
        <w:tc>
          <w:tcPr>
            <w:tcW w:w="782" w:type="dxa"/>
            <w:tcBorders>
              <w:top w:val="single" w:color="auto" w:sz="4" w:space="0"/>
              <w:left w:val="single" w:color="auto" w:sz="4" w:space="0"/>
              <w:bottom w:val="single" w:color="auto" w:sz="4" w:space="0"/>
              <w:right w:val="single" w:color="auto" w:sz="4" w:space="0"/>
            </w:tcBorders>
            <w:vAlign w:val="center"/>
          </w:tcPr>
          <w:p w14:paraId="679C64BB">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3998" w:type="dxa"/>
            <w:tcBorders>
              <w:top w:val="single" w:color="auto" w:sz="4" w:space="0"/>
              <w:left w:val="single" w:color="auto" w:sz="4" w:space="0"/>
              <w:bottom w:val="single" w:color="auto" w:sz="4" w:space="0"/>
              <w:right w:val="single" w:color="auto" w:sz="4" w:space="0"/>
            </w:tcBorders>
            <w:vAlign w:val="center"/>
          </w:tcPr>
          <w:p w14:paraId="1AAB5AD9">
            <w:pPr>
              <w:tabs>
                <w:tab w:val="left" w:pos="851"/>
              </w:tabs>
              <w:adjustRightInd w:val="0"/>
              <w:snapToGrid w:val="0"/>
              <w:jc w:val="lef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  查  内  容</w:t>
            </w:r>
          </w:p>
        </w:tc>
        <w:tc>
          <w:tcPr>
            <w:tcW w:w="1185" w:type="dxa"/>
            <w:tcBorders>
              <w:top w:val="single" w:color="auto" w:sz="4" w:space="0"/>
              <w:left w:val="single" w:color="auto" w:sz="4" w:space="0"/>
              <w:bottom w:val="single" w:color="auto" w:sz="4" w:space="0"/>
              <w:right w:val="single" w:color="auto" w:sz="4" w:space="0"/>
            </w:tcBorders>
            <w:vAlign w:val="center"/>
          </w:tcPr>
          <w:p w14:paraId="0393CF71">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依据标准</w:t>
            </w:r>
          </w:p>
        </w:tc>
        <w:tc>
          <w:tcPr>
            <w:tcW w:w="1935" w:type="dxa"/>
            <w:tcBorders>
              <w:top w:val="single" w:color="auto" w:sz="4" w:space="0"/>
              <w:left w:val="single" w:color="auto" w:sz="4" w:space="0"/>
              <w:bottom w:val="single" w:color="auto" w:sz="4" w:space="0"/>
              <w:right w:val="single" w:color="auto" w:sz="4" w:space="0"/>
            </w:tcBorders>
            <w:vAlign w:val="center"/>
          </w:tcPr>
          <w:p w14:paraId="2E6D5002">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检查情况</w:t>
            </w:r>
          </w:p>
        </w:tc>
        <w:tc>
          <w:tcPr>
            <w:tcW w:w="701" w:type="dxa"/>
            <w:tcBorders>
              <w:top w:val="single" w:color="auto" w:sz="4" w:space="0"/>
              <w:left w:val="single" w:color="auto" w:sz="4" w:space="0"/>
              <w:bottom w:val="single" w:color="auto" w:sz="4" w:space="0"/>
              <w:right w:val="single" w:color="auto" w:sz="4" w:space="0"/>
            </w:tcBorders>
            <w:vAlign w:val="center"/>
          </w:tcPr>
          <w:p w14:paraId="1C3665BA">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结论</w:t>
            </w:r>
          </w:p>
        </w:tc>
      </w:tr>
      <w:tr w14:paraId="74C6DE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0BD4BA0E">
            <w:pPr>
              <w:numPr>
                <w:ilvl w:val="0"/>
                <w:numId w:val="16"/>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0F8C93D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生产经营单位的主要负责人是本单位安全生产 第一责任人，对本单位的安全生产工作全面负责。其他负责人对职责范围内的安全生产工作负责。</w:t>
            </w:r>
          </w:p>
        </w:tc>
        <w:tc>
          <w:tcPr>
            <w:tcW w:w="1185" w:type="dxa"/>
            <w:tcBorders>
              <w:top w:val="single" w:color="auto" w:sz="4" w:space="0"/>
              <w:left w:val="single" w:color="auto" w:sz="4" w:space="0"/>
              <w:bottom w:val="single" w:color="auto" w:sz="4" w:space="0"/>
              <w:right w:val="single" w:color="auto" w:sz="4" w:space="0"/>
            </w:tcBorders>
            <w:vAlign w:val="center"/>
          </w:tcPr>
          <w:p w14:paraId="1B57F9A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532C7B0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第五条</w:t>
            </w:r>
          </w:p>
        </w:tc>
        <w:tc>
          <w:tcPr>
            <w:tcW w:w="1935" w:type="dxa"/>
            <w:tcBorders>
              <w:top w:val="single" w:color="auto" w:sz="4" w:space="0"/>
              <w:left w:val="single" w:color="auto" w:sz="4" w:space="0"/>
              <w:bottom w:val="single" w:color="auto" w:sz="4" w:space="0"/>
              <w:right w:val="single" w:color="auto" w:sz="4" w:space="0"/>
            </w:tcBorders>
            <w:vAlign w:val="center"/>
          </w:tcPr>
          <w:p w14:paraId="53BFA4F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公司主要负责人对本单位的安全生产工作全面负责。</w:t>
            </w:r>
          </w:p>
        </w:tc>
        <w:tc>
          <w:tcPr>
            <w:tcW w:w="701" w:type="dxa"/>
            <w:tcBorders>
              <w:top w:val="single" w:color="auto" w:sz="4" w:space="0"/>
              <w:left w:val="single" w:color="auto" w:sz="4" w:space="0"/>
              <w:bottom w:val="single" w:color="auto" w:sz="4" w:space="0"/>
              <w:right w:val="single" w:color="auto" w:sz="4" w:space="0"/>
            </w:tcBorders>
            <w:vAlign w:val="center"/>
          </w:tcPr>
          <w:p w14:paraId="6C804CA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BECC9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44F0A684">
            <w:pPr>
              <w:numPr>
                <w:ilvl w:val="0"/>
                <w:numId w:val="16"/>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69FC2C3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生产经营单位的主要负责人对本单位安全生产工作负有下列职责：</w:t>
            </w:r>
          </w:p>
          <w:p w14:paraId="0AB7EB54">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（一）建立健全并落实本单位全员安全生产责任制，加强安全生产标准化建设；</w:t>
            </w:r>
          </w:p>
          <w:p w14:paraId="378ED09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（二）组织制定并实施本单位安全生产规章制度和操作规程；</w:t>
            </w:r>
          </w:p>
          <w:p w14:paraId="0656FF0A">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（三）组织制定并实施本单位安全生产教育和培训计划；</w:t>
            </w:r>
          </w:p>
          <w:p w14:paraId="7C2761BF">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（四）保证本单位安全生产投入的有效实施；</w:t>
            </w:r>
          </w:p>
          <w:p w14:paraId="1C0B02A1">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（五）组织建立并落实安全风险分级管控和隐患排查治理双重预防工作机制，督促、检查本单位的安全生产工作，及时消除生产安全事故隐患；</w:t>
            </w:r>
          </w:p>
          <w:p w14:paraId="3D8E592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（六）组织制定并实施本单位的生产安全事故应急救援预案；</w:t>
            </w:r>
          </w:p>
          <w:p w14:paraId="693EFC21">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（七）及时、如实报告生产安全事故。</w:t>
            </w:r>
          </w:p>
        </w:tc>
        <w:tc>
          <w:tcPr>
            <w:tcW w:w="1185" w:type="dxa"/>
            <w:tcBorders>
              <w:top w:val="single" w:color="auto" w:sz="4" w:space="0"/>
              <w:left w:val="single" w:color="auto" w:sz="4" w:space="0"/>
              <w:bottom w:val="single" w:color="auto" w:sz="4" w:space="0"/>
              <w:right w:val="single" w:color="auto" w:sz="4" w:space="0"/>
            </w:tcBorders>
            <w:vAlign w:val="center"/>
          </w:tcPr>
          <w:p w14:paraId="4DCE37A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797E136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第二十一条</w:t>
            </w:r>
          </w:p>
        </w:tc>
        <w:tc>
          <w:tcPr>
            <w:tcW w:w="1935" w:type="dxa"/>
            <w:tcBorders>
              <w:top w:val="single" w:color="auto" w:sz="4" w:space="0"/>
              <w:left w:val="single" w:color="auto" w:sz="4" w:space="0"/>
              <w:bottom w:val="single" w:color="auto" w:sz="4" w:space="0"/>
              <w:right w:val="single" w:color="auto" w:sz="4" w:space="0"/>
            </w:tcBorders>
            <w:vAlign w:val="center"/>
          </w:tcPr>
          <w:p w14:paraId="6DE944A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公司制定了安全生产规章制度和安全操作规程，成立了</w:t>
            </w:r>
            <w:r>
              <w:rPr>
                <w:rFonts w:hint="eastAsia" w:ascii="宋体" w:hAnsi="宋体" w:eastAsia="宋体" w:cs="宋体"/>
                <w:color w:val="000000" w:themeColor="text1"/>
                <w:kern w:val="0"/>
                <w:sz w:val="21"/>
                <w:szCs w:val="21"/>
                <w14:textFill>
                  <w14:solidFill>
                    <w14:schemeClr w14:val="tx1"/>
                  </w14:solidFill>
                </w14:textFill>
              </w:rPr>
              <w:t>安全生产领导小组</w:t>
            </w:r>
            <w:r>
              <w:rPr>
                <w:rFonts w:hint="eastAsia" w:ascii="宋体" w:hAnsi="宋体" w:eastAsia="宋体" w:cs="宋体"/>
                <w:color w:val="000000" w:themeColor="text1"/>
                <w:sz w:val="21"/>
                <w:szCs w:val="21"/>
                <w14:textFill>
                  <w14:solidFill>
                    <w14:schemeClr w14:val="tx1"/>
                  </w14:solidFill>
                </w14:textFill>
              </w:rPr>
              <w:t>。</w:t>
            </w:r>
          </w:p>
        </w:tc>
        <w:tc>
          <w:tcPr>
            <w:tcW w:w="701" w:type="dxa"/>
            <w:tcBorders>
              <w:top w:val="single" w:color="auto" w:sz="4" w:space="0"/>
              <w:left w:val="single" w:color="auto" w:sz="4" w:space="0"/>
              <w:bottom w:val="single" w:color="auto" w:sz="4" w:space="0"/>
              <w:right w:val="single" w:color="auto" w:sz="4" w:space="0"/>
            </w:tcBorders>
            <w:vAlign w:val="center"/>
          </w:tcPr>
          <w:p w14:paraId="0EDFE24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A3BC7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6F43FA60">
            <w:pPr>
              <w:numPr>
                <w:ilvl w:val="0"/>
                <w:numId w:val="16"/>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0A7E071D">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生产经营单位的全员安全生产责任制应当明确各岗位的责任人员、责任范围和考核标准等内容。生产经营单位应当建立相应的机制，加强对安全生产责任制落实情况的监督考核，保证安全生产责任制的落实。</w:t>
            </w:r>
          </w:p>
        </w:tc>
        <w:tc>
          <w:tcPr>
            <w:tcW w:w="1185" w:type="dxa"/>
            <w:tcBorders>
              <w:top w:val="single" w:color="auto" w:sz="4" w:space="0"/>
              <w:left w:val="single" w:color="auto" w:sz="4" w:space="0"/>
              <w:bottom w:val="single" w:color="auto" w:sz="4" w:space="0"/>
              <w:right w:val="single" w:color="auto" w:sz="4" w:space="0"/>
            </w:tcBorders>
            <w:vAlign w:val="center"/>
          </w:tcPr>
          <w:p w14:paraId="2CF5B8D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0AAA257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第二十二条</w:t>
            </w:r>
          </w:p>
        </w:tc>
        <w:tc>
          <w:tcPr>
            <w:tcW w:w="1935" w:type="dxa"/>
            <w:tcBorders>
              <w:top w:val="single" w:color="auto" w:sz="4" w:space="0"/>
              <w:left w:val="single" w:color="auto" w:sz="4" w:space="0"/>
              <w:bottom w:val="single" w:color="auto" w:sz="4" w:space="0"/>
              <w:right w:val="single" w:color="auto" w:sz="4" w:space="0"/>
            </w:tcBorders>
            <w:vAlign w:val="center"/>
          </w:tcPr>
          <w:p w14:paraId="055664C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有相关管理制度。</w:t>
            </w:r>
          </w:p>
        </w:tc>
        <w:tc>
          <w:tcPr>
            <w:tcW w:w="701" w:type="dxa"/>
            <w:tcBorders>
              <w:top w:val="single" w:color="auto" w:sz="4" w:space="0"/>
              <w:left w:val="single" w:color="auto" w:sz="4" w:space="0"/>
              <w:bottom w:val="single" w:color="auto" w:sz="4" w:space="0"/>
              <w:right w:val="single" w:color="auto" w:sz="4" w:space="0"/>
            </w:tcBorders>
            <w:vAlign w:val="center"/>
          </w:tcPr>
          <w:p w14:paraId="73168E8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9336D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40823ED9">
            <w:pPr>
              <w:numPr>
                <w:ilvl w:val="0"/>
                <w:numId w:val="16"/>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2602C556">
            <w:pPr>
              <w:tabs>
                <w:tab w:val="left" w:pos="851"/>
              </w:tabs>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具备的安全生产条件所必需的资金投入，由生产经营单位的决策机构、主要负责人或者个人经营的投资人予以保证，并对由于安全生产所必需的资金投入不足导致的后果承担责任。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1185" w:type="dxa"/>
            <w:tcBorders>
              <w:top w:val="single" w:color="auto" w:sz="4" w:space="0"/>
              <w:left w:val="single" w:color="auto" w:sz="4" w:space="0"/>
              <w:bottom w:val="single" w:color="auto" w:sz="4" w:space="0"/>
              <w:right w:val="single" w:color="auto" w:sz="4" w:space="0"/>
            </w:tcBorders>
            <w:vAlign w:val="center"/>
          </w:tcPr>
          <w:p w14:paraId="12854E80">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7FD5C4B5">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第二十三条</w:t>
            </w:r>
          </w:p>
        </w:tc>
        <w:tc>
          <w:tcPr>
            <w:tcW w:w="1935" w:type="dxa"/>
            <w:tcBorders>
              <w:top w:val="single" w:color="auto" w:sz="4" w:space="0"/>
              <w:left w:val="single" w:color="auto" w:sz="4" w:space="0"/>
              <w:bottom w:val="single" w:color="auto" w:sz="4" w:space="0"/>
              <w:right w:val="single" w:color="auto" w:sz="4" w:space="0"/>
            </w:tcBorders>
            <w:vAlign w:val="center"/>
          </w:tcPr>
          <w:p w14:paraId="48964BC4">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按规定提取安全费用并用于改善安全生产条件。</w:t>
            </w:r>
          </w:p>
        </w:tc>
        <w:tc>
          <w:tcPr>
            <w:tcW w:w="701" w:type="dxa"/>
            <w:tcBorders>
              <w:top w:val="single" w:color="auto" w:sz="4" w:space="0"/>
              <w:left w:val="single" w:color="auto" w:sz="4" w:space="0"/>
              <w:bottom w:val="single" w:color="auto" w:sz="4" w:space="0"/>
              <w:right w:val="single" w:color="auto" w:sz="4" w:space="0"/>
            </w:tcBorders>
            <w:vAlign w:val="center"/>
          </w:tcPr>
          <w:p w14:paraId="29870DE9">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9A9F7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752E8423">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763880E0">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矿山、金属冶炼、建筑施工、运输单位和危险物品的生产、经营、储存、装卸单位，应当设置安全生产管理机构或者配备专职安全生产管理人员。</w:t>
            </w:r>
          </w:p>
          <w:p w14:paraId="795502D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185" w:type="dxa"/>
            <w:tcBorders>
              <w:top w:val="single" w:color="auto" w:sz="4" w:space="0"/>
              <w:left w:val="single" w:color="auto" w:sz="4" w:space="0"/>
              <w:bottom w:val="single" w:color="auto" w:sz="4" w:space="0"/>
              <w:right w:val="single" w:color="auto" w:sz="4" w:space="0"/>
            </w:tcBorders>
            <w:vAlign w:val="center"/>
          </w:tcPr>
          <w:p w14:paraId="7F610C5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4D00C1D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二十四条</w:t>
            </w:r>
          </w:p>
        </w:tc>
        <w:tc>
          <w:tcPr>
            <w:tcW w:w="1935" w:type="dxa"/>
            <w:tcBorders>
              <w:top w:val="single" w:color="auto" w:sz="4" w:space="0"/>
              <w:left w:val="single" w:color="auto" w:sz="4" w:space="0"/>
              <w:bottom w:val="single" w:color="auto" w:sz="4" w:space="0"/>
              <w:right w:val="single" w:color="auto" w:sz="4" w:space="0"/>
            </w:tcBorders>
            <w:vAlign w:val="center"/>
          </w:tcPr>
          <w:p w14:paraId="6201508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公司成立了安全生产领导小组，任命了专职安全员。</w:t>
            </w:r>
          </w:p>
        </w:tc>
        <w:tc>
          <w:tcPr>
            <w:tcW w:w="701" w:type="dxa"/>
            <w:tcBorders>
              <w:top w:val="single" w:color="auto" w:sz="4" w:space="0"/>
              <w:left w:val="single" w:color="auto" w:sz="4" w:space="0"/>
              <w:bottom w:val="single" w:color="auto" w:sz="4" w:space="0"/>
              <w:right w:val="single" w:color="auto" w:sz="4" w:space="0"/>
            </w:tcBorders>
            <w:vAlign w:val="center"/>
          </w:tcPr>
          <w:p w14:paraId="632AAE3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0669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4EB5692C">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5CFF8A3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生产经营单位的主要负责人和安全生产管理人员必须具备与本单位所从事的生产经营活动相应的安全生产知识和管理能力。</w:t>
            </w:r>
          </w:p>
          <w:p w14:paraId="48A16B5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tc>
        <w:tc>
          <w:tcPr>
            <w:tcW w:w="1185" w:type="dxa"/>
            <w:tcBorders>
              <w:top w:val="single" w:color="auto" w:sz="4" w:space="0"/>
              <w:left w:val="single" w:color="auto" w:sz="4" w:space="0"/>
              <w:bottom w:val="single" w:color="auto" w:sz="4" w:space="0"/>
              <w:right w:val="single" w:color="auto" w:sz="4" w:space="0"/>
            </w:tcBorders>
            <w:vAlign w:val="center"/>
          </w:tcPr>
          <w:p w14:paraId="2FEA79F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364AF10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二十七条</w:t>
            </w:r>
          </w:p>
        </w:tc>
        <w:tc>
          <w:tcPr>
            <w:tcW w:w="1935" w:type="dxa"/>
            <w:tcBorders>
              <w:top w:val="single" w:color="auto" w:sz="4" w:space="0"/>
              <w:left w:val="single" w:color="auto" w:sz="4" w:space="0"/>
              <w:bottom w:val="single" w:color="auto" w:sz="4" w:space="0"/>
              <w:right w:val="single" w:color="auto" w:sz="4" w:space="0"/>
            </w:tcBorders>
            <w:vAlign w:val="center"/>
          </w:tcPr>
          <w:p w14:paraId="0FA509B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主要负责人取得了安全生产知识和管理能力考核合格证，安全管理人（王琪）已通过安全生产知识和管理能力考核，但发证时按主要负责人发证，已重新报名培训。</w:t>
            </w:r>
          </w:p>
          <w:p w14:paraId="57385CB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701" w:type="dxa"/>
            <w:tcBorders>
              <w:top w:val="single" w:color="auto" w:sz="4" w:space="0"/>
              <w:left w:val="single" w:color="auto" w:sz="4" w:space="0"/>
              <w:bottom w:val="single" w:color="auto" w:sz="4" w:space="0"/>
              <w:right w:val="single" w:color="auto" w:sz="4" w:space="0"/>
            </w:tcBorders>
            <w:vAlign w:val="center"/>
          </w:tcPr>
          <w:p w14:paraId="06C2968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D3432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1878290F">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542E961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 生产经营单位应当建立健全下列制度：</w:t>
            </w:r>
          </w:p>
          <w:p w14:paraId="445D9A7A">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1）安全生产责任制度；</w:t>
            </w:r>
          </w:p>
          <w:p w14:paraId="139E0E8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2）安全生产例会制度；</w:t>
            </w:r>
          </w:p>
          <w:p w14:paraId="72E2E4E1">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3）安全生产奖惩制度；</w:t>
            </w:r>
          </w:p>
          <w:p w14:paraId="47593C2D">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4）安全生产教育培训制度；</w:t>
            </w:r>
          </w:p>
          <w:p w14:paraId="3171010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5）生产经营场所、设备和设施的安全管理制度；</w:t>
            </w:r>
          </w:p>
          <w:p w14:paraId="7DFBD02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6）安全生产检查制度；</w:t>
            </w:r>
          </w:p>
          <w:p w14:paraId="5DAF8D6B">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7）重大危险源监控和事故隐患报告、整改制度；</w:t>
            </w:r>
          </w:p>
          <w:p w14:paraId="7B11A89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8）伤亡事故报告和处理制度；</w:t>
            </w:r>
          </w:p>
          <w:p w14:paraId="7395EC4D">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9）劳动防护用品管理制度；</w:t>
            </w:r>
          </w:p>
          <w:p w14:paraId="4FAC683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10）法律、法规规定应当制定的其他安全生产制度。</w:t>
            </w:r>
          </w:p>
        </w:tc>
        <w:tc>
          <w:tcPr>
            <w:tcW w:w="1185" w:type="dxa"/>
            <w:tcBorders>
              <w:top w:val="single" w:color="auto" w:sz="4" w:space="0"/>
              <w:left w:val="single" w:color="auto" w:sz="4" w:space="0"/>
              <w:bottom w:val="single" w:color="auto" w:sz="4" w:space="0"/>
              <w:right w:val="single" w:color="auto" w:sz="4" w:space="0"/>
            </w:tcBorders>
            <w:vAlign w:val="center"/>
          </w:tcPr>
          <w:p w14:paraId="282F413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《云南省安全生产条例》第</w:t>
            </w:r>
          </w:p>
          <w:p w14:paraId="71ADA15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十六条</w:t>
            </w:r>
          </w:p>
        </w:tc>
        <w:tc>
          <w:tcPr>
            <w:tcW w:w="1935" w:type="dxa"/>
            <w:tcBorders>
              <w:top w:val="single" w:color="auto" w:sz="4" w:space="0"/>
              <w:left w:val="single" w:color="auto" w:sz="4" w:space="0"/>
              <w:bottom w:val="single" w:color="auto" w:sz="4" w:space="0"/>
              <w:right w:val="single" w:color="auto" w:sz="4" w:space="0"/>
            </w:tcBorders>
            <w:vAlign w:val="center"/>
          </w:tcPr>
          <w:p w14:paraId="4291AEB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建立有相关制度。</w:t>
            </w:r>
          </w:p>
        </w:tc>
        <w:tc>
          <w:tcPr>
            <w:tcW w:w="701" w:type="dxa"/>
            <w:tcBorders>
              <w:top w:val="single" w:color="auto" w:sz="4" w:space="0"/>
              <w:left w:val="single" w:color="auto" w:sz="4" w:space="0"/>
              <w:bottom w:val="single" w:color="auto" w:sz="4" w:space="0"/>
              <w:right w:val="single" w:color="auto" w:sz="4" w:space="0"/>
            </w:tcBorders>
            <w:vAlign w:val="center"/>
          </w:tcPr>
          <w:p w14:paraId="7B6EDC0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C552F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3FDB845A">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0421174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1DE7F5E1">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07C8123F">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生产经营单位接收中等职业学校、高等学校学生实习的，应当对实习学生进行相应的安全生产教育和培训，提供必要的劳动防护用品。学校应当协助生产经营单位对实习学生进行安全生产教育和培训。</w:t>
            </w:r>
          </w:p>
          <w:p w14:paraId="034587E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生产经营单位应当建立安全生产教育和培训档案，如实记录安全生产教育和培训的时间、内容、参加人员以及考核结果等情况。</w:t>
            </w:r>
          </w:p>
        </w:tc>
        <w:tc>
          <w:tcPr>
            <w:tcW w:w="1185" w:type="dxa"/>
            <w:tcBorders>
              <w:top w:val="single" w:color="auto" w:sz="4" w:space="0"/>
              <w:left w:val="single" w:color="auto" w:sz="4" w:space="0"/>
              <w:bottom w:val="single" w:color="auto" w:sz="4" w:space="0"/>
              <w:right w:val="single" w:color="auto" w:sz="4" w:space="0"/>
            </w:tcBorders>
            <w:vAlign w:val="center"/>
          </w:tcPr>
          <w:p w14:paraId="37A69A9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2F1281E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二十八条</w:t>
            </w:r>
          </w:p>
        </w:tc>
        <w:tc>
          <w:tcPr>
            <w:tcW w:w="1935" w:type="dxa"/>
            <w:tcBorders>
              <w:top w:val="single" w:color="auto" w:sz="4" w:space="0"/>
              <w:left w:val="single" w:color="auto" w:sz="4" w:space="0"/>
              <w:bottom w:val="single" w:color="auto" w:sz="4" w:space="0"/>
              <w:right w:val="single" w:color="auto" w:sz="4" w:space="0"/>
            </w:tcBorders>
            <w:vAlign w:val="center"/>
          </w:tcPr>
          <w:p w14:paraId="432E041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签署有安全管理协议，并有相关培训记录和台账。</w:t>
            </w:r>
          </w:p>
        </w:tc>
        <w:tc>
          <w:tcPr>
            <w:tcW w:w="701" w:type="dxa"/>
            <w:tcBorders>
              <w:top w:val="single" w:color="auto" w:sz="4" w:space="0"/>
              <w:left w:val="single" w:color="auto" w:sz="4" w:space="0"/>
              <w:bottom w:val="single" w:color="auto" w:sz="4" w:space="0"/>
              <w:right w:val="single" w:color="auto" w:sz="4" w:space="0"/>
            </w:tcBorders>
            <w:vAlign w:val="center"/>
          </w:tcPr>
          <w:p w14:paraId="3BEB330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059C9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200E1164">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5D9601A">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生产经营单位采用新工艺、新技术、新材料或者使用新设备，必须了解、掌握其安全技术特性，采取有效的安全防护措施，并对从业人员进行专门的安全生产教育和培训。</w:t>
            </w:r>
          </w:p>
        </w:tc>
        <w:tc>
          <w:tcPr>
            <w:tcW w:w="1185" w:type="dxa"/>
            <w:tcBorders>
              <w:top w:val="single" w:color="auto" w:sz="4" w:space="0"/>
              <w:left w:val="single" w:color="auto" w:sz="4" w:space="0"/>
              <w:bottom w:val="single" w:color="auto" w:sz="4" w:space="0"/>
              <w:right w:val="single" w:color="auto" w:sz="4" w:space="0"/>
            </w:tcBorders>
            <w:vAlign w:val="center"/>
          </w:tcPr>
          <w:p w14:paraId="7CB0066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196EFF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二十九条</w:t>
            </w:r>
          </w:p>
        </w:tc>
        <w:tc>
          <w:tcPr>
            <w:tcW w:w="1935" w:type="dxa"/>
            <w:tcBorders>
              <w:top w:val="single" w:color="auto" w:sz="4" w:space="0"/>
              <w:left w:val="single" w:color="auto" w:sz="4" w:space="0"/>
              <w:bottom w:val="single" w:color="auto" w:sz="4" w:space="0"/>
              <w:right w:val="single" w:color="auto" w:sz="4" w:space="0"/>
            </w:tcBorders>
            <w:vAlign w:val="center"/>
          </w:tcPr>
          <w:p w14:paraId="75BCE27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公司对职工进行了针对性安全培训。</w:t>
            </w:r>
          </w:p>
        </w:tc>
        <w:tc>
          <w:tcPr>
            <w:tcW w:w="701" w:type="dxa"/>
            <w:tcBorders>
              <w:top w:val="single" w:color="auto" w:sz="4" w:space="0"/>
              <w:left w:val="single" w:color="auto" w:sz="4" w:space="0"/>
              <w:bottom w:val="single" w:color="auto" w:sz="4" w:space="0"/>
              <w:right w:val="single" w:color="auto" w:sz="4" w:space="0"/>
            </w:tcBorders>
            <w:vAlign w:val="center"/>
          </w:tcPr>
          <w:p w14:paraId="5DB4EF3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300C4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7D580F3E">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CBDD52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生产经营单位的特种作业人员必须按照国家有关规定经专门的安全作业培训，取得相应资格，方可上岗作业。</w:t>
            </w:r>
          </w:p>
          <w:p w14:paraId="0FD3C09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特种作业人员的范围由国务院应急管理部门会同国务院有关部门确定。</w:t>
            </w:r>
          </w:p>
        </w:tc>
        <w:tc>
          <w:tcPr>
            <w:tcW w:w="1185" w:type="dxa"/>
            <w:tcBorders>
              <w:top w:val="single" w:color="auto" w:sz="4" w:space="0"/>
              <w:left w:val="single" w:color="auto" w:sz="4" w:space="0"/>
              <w:bottom w:val="single" w:color="auto" w:sz="4" w:space="0"/>
              <w:right w:val="single" w:color="auto" w:sz="4" w:space="0"/>
            </w:tcBorders>
            <w:vAlign w:val="center"/>
          </w:tcPr>
          <w:p w14:paraId="74436D2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CCB41E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三十条</w:t>
            </w:r>
          </w:p>
        </w:tc>
        <w:tc>
          <w:tcPr>
            <w:tcW w:w="1935" w:type="dxa"/>
            <w:tcBorders>
              <w:top w:val="single" w:color="auto" w:sz="4" w:space="0"/>
              <w:left w:val="single" w:color="auto" w:sz="4" w:space="0"/>
              <w:bottom w:val="single" w:color="auto" w:sz="4" w:space="0"/>
              <w:right w:val="single" w:color="auto" w:sz="4" w:space="0"/>
            </w:tcBorders>
            <w:vAlign w:val="center"/>
          </w:tcPr>
          <w:p w14:paraId="3A1FC40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该企业特种作业人员</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电工、焊工、叉车</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取得相应资格，持证上岗。</w:t>
            </w:r>
          </w:p>
        </w:tc>
        <w:tc>
          <w:tcPr>
            <w:tcW w:w="701" w:type="dxa"/>
            <w:tcBorders>
              <w:top w:val="single" w:color="auto" w:sz="4" w:space="0"/>
              <w:left w:val="single" w:color="auto" w:sz="4" w:space="0"/>
              <w:bottom w:val="single" w:color="auto" w:sz="4" w:space="0"/>
              <w:right w:val="single" w:color="auto" w:sz="4" w:space="0"/>
            </w:tcBorders>
            <w:vAlign w:val="center"/>
          </w:tcPr>
          <w:p w14:paraId="41D66A1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66C41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4EA2DBA2">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D64BCB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生产经营单位应当在有较大危险因素的生产经营场所和有关设施、设备上，设置明显的安全警示标志。</w:t>
            </w:r>
          </w:p>
        </w:tc>
        <w:tc>
          <w:tcPr>
            <w:tcW w:w="1185" w:type="dxa"/>
            <w:tcBorders>
              <w:top w:val="single" w:color="auto" w:sz="4" w:space="0"/>
              <w:left w:val="single" w:color="auto" w:sz="4" w:space="0"/>
              <w:bottom w:val="single" w:color="auto" w:sz="4" w:space="0"/>
              <w:right w:val="single" w:color="auto" w:sz="4" w:space="0"/>
            </w:tcBorders>
            <w:vAlign w:val="center"/>
          </w:tcPr>
          <w:p w14:paraId="5BD88B3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55077E8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三十五条</w:t>
            </w:r>
          </w:p>
        </w:tc>
        <w:tc>
          <w:tcPr>
            <w:tcW w:w="1935" w:type="dxa"/>
            <w:tcBorders>
              <w:top w:val="single" w:color="auto" w:sz="4" w:space="0"/>
              <w:left w:val="single" w:color="auto" w:sz="4" w:space="0"/>
              <w:bottom w:val="single" w:color="auto" w:sz="4" w:space="0"/>
              <w:right w:val="single" w:color="auto" w:sz="4" w:space="0"/>
            </w:tcBorders>
            <w:vAlign w:val="center"/>
          </w:tcPr>
          <w:p w14:paraId="5B2BA25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现场设置明显的安全警示标志。</w:t>
            </w:r>
          </w:p>
        </w:tc>
        <w:tc>
          <w:tcPr>
            <w:tcW w:w="701" w:type="dxa"/>
            <w:tcBorders>
              <w:top w:val="single" w:color="auto" w:sz="4" w:space="0"/>
              <w:left w:val="single" w:color="auto" w:sz="4" w:space="0"/>
              <w:bottom w:val="single" w:color="auto" w:sz="4" w:space="0"/>
              <w:right w:val="single" w:color="auto" w:sz="4" w:space="0"/>
            </w:tcBorders>
            <w:vAlign w:val="center"/>
          </w:tcPr>
          <w:p w14:paraId="187A75F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F11F8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3D8AD344">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0B349AEA">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安全设备的设计、制造、安装、使用、检测、维修、改造和报废，应当符合国家标准或者行业标准。</w:t>
            </w:r>
          </w:p>
          <w:p w14:paraId="0BF190D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生产经营单位必须对安全设备进行经常性维护、保养，并定期检测，保证正常运转。维护、保养、检测应当作好记录，并由有关人员签字。</w:t>
            </w:r>
          </w:p>
          <w:p w14:paraId="19C2B4CF">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生产经营单位不得关闭、破坏直接关系生产安全的监控、报警、防护、救生设备、设施，或者篡改、隐瞒、销毁其相关数据、信息。</w:t>
            </w:r>
          </w:p>
          <w:p w14:paraId="2EA9281D">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餐饮等行业的生产经营单位使用燃气的，应当安装可燃气体报警装置，并保障其正常使用。</w:t>
            </w:r>
          </w:p>
        </w:tc>
        <w:tc>
          <w:tcPr>
            <w:tcW w:w="1185" w:type="dxa"/>
            <w:tcBorders>
              <w:top w:val="single" w:color="auto" w:sz="4" w:space="0"/>
              <w:left w:val="single" w:color="auto" w:sz="4" w:space="0"/>
              <w:bottom w:val="single" w:color="auto" w:sz="4" w:space="0"/>
              <w:right w:val="single" w:color="auto" w:sz="4" w:space="0"/>
            </w:tcBorders>
            <w:vAlign w:val="center"/>
          </w:tcPr>
          <w:p w14:paraId="3AE1259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73ABBB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三十六条</w:t>
            </w:r>
          </w:p>
        </w:tc>
        <w:tc>
          <w:tcPr>
            <w:tcW w:w="1935" w:type="dxa"/>
            <w:tcBorders>
              <w:top w:val="single" w:color="auto" w:sz="4" w:space="0"/>
              <w:left w:val="single" w:color="auto" w:sz="4" w:space="0"/>
              <w:bottom w:val="single" w:color="auto" w:sz="4" w:space="0"/>
              <w:right w:val="single" w:color="auto" w:sz="4" w:space="0"/>
            </w:tcBorders>
            <w:vAlign w:val="center"/>
          </w:tcPr>
          <w:p w14:paraId="5E34C76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能对安全设备进行经常性维护、保养。</w:t>
            </w:r>
          </w:p>
        </w:tc>
        <w:tc>
          <w:tcPr>
            <w:tcW w:w="701" w:type="dxa"/>
            <w:tcBorders>
              <w:top w:val="single" w:color="auto" w:sz="4" w:space="0"/>
              <w:left w:val="single" w:color="auto" w:sz="4" w:space="0"/>
              <w:bottom w:val="single" w:color="auto" w:sz="4" w:space="0"/>
              <w:right w:val="single" w:color="auto" w:sz="4" w:space="0"/>
            </w:tcBorders>
            <w:vAlign w:val="center"/>
          </w:tcPr>
          <w:p w14:paraId="5767409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6F8D9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704D6202">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B2FC90C">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生产经营单位应当建立安全风险分级管控制度，按照安全风险分级采取相应的管控措施。</w:t>
            </w:r>
          </w:p>
          <w:p w14:paraId="0BA8AC2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tc>
        <w:tc>
          <w:tcPr>
            <w:tcW w:w="1185" w:type="dxa"/>
            <w:tcBorders>
              <w:top w:val="single" w:color="auto" w:sz="4" w:space="0"/>
              <w:left w:val="single" w:color="auto" w:sz="4" w:space="0"/>
              <w:bottom w:val="single" w:color="auto" w:sz="4" w:space="0"/>
              <w:right w:val="single" w:color="auto" w:sz="4" w:space="0"/>
            </w:tcBorders>
            <w:vAlign w:val="center"/>
          </w:tcPr>
          <w:p w14:paraId="129858A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4013780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四十一条</w:t>
            </w:r>
          </w:p>
        </w:tc>
        <w:tc>
          <w:tcPr>
            <w:tcW w:w="1935" w:type="dxa"/>
            <w:tcBorders>
              <w:top w:val="single" w:color="auto" w:sz="4" w:space="0"/>
              <w:left w:val="single" w:color="auto" w:sz="4" w:space="0"/>
              <w:bottom w:val="single" w:color="auto" w:sz="4" w:space="0"/>
              <w:right w:val="single" w:color="auto" w:sz="4" w:space="0"/>
            </w:tcBorders>
            <w:vAlign w:val="center"/>
          </w:tcPr>
          <w:p w14:paraId="7F4C77A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建立有隐患排查的相关管理制度并定期组织排查。</w:t>
            </w:r>
          </w:p>
        </w:tc>
        <w:tc>
          <w:tcPr>
            <w:tcW w:w="701" w:type="dxa"/>
            <w:tcBorders>
              <w:top w:val="single" w:color="auto" w:sz="4" w:space="0"/>
              <w:left w:val="single" w:color="auto" w:sz="4" w:space="0"/>
              <w:bottom w:val="single" w:color="auto" w:sz="4" w:space="0"/>
              <w:right w:val="single" w:color="auto" w:sz="4" w:space="0"/>
            </w:tcBorders>
            <w:vAlign w:val="center"/>
          </w:tcPr>
          <w:p w14:paraId="2A62DAE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60A60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11E3616D">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21934AA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生产、经营、储存、使用危险物品的车间、商店、仓库不得与员工宿舍在同一座建筑物内，并应当与员工宿舍保持安全距离。</w:t>
            </w:r>
          </w:p>
          <w:p w14:paraId="66FCF27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生产经营场所和员工宿舍应当设有符合紧急疏散要求、标志明显、保持畅通的出口、疏散通道。禁止占用、锁闭、封堵生产经营场所或者员工宿舍的出口、疏散通道。</w:t>
            </w:r>
          </w:p>
        </w:tc>
        <w:tc>
          <w:tcPr>
            <w:tcW w:w="1185" w:type="dxa"/>
            <w:tcBorders>
              <w:top w:val="single" w:color="auto" w:sz="4" w:space="0"/>
              <w:left w:val="single" w:color="auto" w:sz="4" w:space="0"/>
              <w:bottom w:val="single" w:color="auto" w:sz="4" w:space="0"/>
              <w:right w:val="single" w:color="auto" w:sz="4" w:space="0"/>
            </w:tcBorders>
            <w:vAlign w:val="center"/>
          </w:tcPr>
          <w:p w14:paraId="4FBCD99F">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3C08E16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四十二条</w:t>
            </w:r>
          </w:p>
        </w:tc>
        <w:tc>
          <w:tcPr>
            <w:tcW w:w="1935" w:type="dxa"/>
            <w:tcBorders>
              <w:top w:val="single" w:color="auto" w:sz="4" w:space="0"/>
              <w:left w:val="single" w:color="auto" w:sz="4" w:space="0"/>
              <w:bottom w:val="single" w:color="auto" w:sz="4" w:space="0"/>
              <w:right w:val="single" w:color="auto" w:sz="4" w:space="0"/>
            </w:tcBorders>
            <w:vAlign w:val="center"/>
          </w:tcPr>
          <w:p w14:paraId="322BF99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生产区域内未设置员工宿舍。</w:t>
            </w:r>
          </w:p>
          <w:p w14:paraId="2A08BF43">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各作业场所安全出口符合要求。</w:t>
            </w:r>
          </w:p>
        </w:tc>
        <w:tc>
          <w:tcPr>
            <w:tcW w:w="701" w:type="dxa"/>
            <w:tcBorders>
              <w:top w:val="single" w:color="auto" w:sz="4" w:space="0"/>
              <w:left w:val="single" w:color="auto" w:sz="4" w:space="0"/>
              <w:bottom w:val="single" w:color="auto" w:sz="4" w:space="0"/>
              <w:right w:val="single" w:color="auto" w:sz="4" w:space="0"/>
            </w:tcBorders>
            <w:vAlign w:val="center"/>
          </w:tcPr>
          <w:p w14:paraId="32F1DD4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CED5E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55B19E0D">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38D99510">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生产经营单位必须为从业人员提供符合国家标准或者行业标准的劳动防护用品，并监督、教育从业人员按照使用规则佩戴、使用。</w:t>
            </w:r>
          </w:p>
        </w:tc>
        <w:tc>
          <w:tcPr>
            <w:tcW w:w="1185" w:type="dxa"/>
            <w:tcBorders>
              <w:top w:val="single" w:color="auto" w:sz="4" w:space="0"/>
              <w:left w:val="single" w:color="auto" w:sz="4" w:space="0"/>
              <w:bottom w:val="single" w:color="auto" w:sz="4" w:space="0"/>
              <w:right w:val="single" w:color="auto" w:sz="4" w:space="0"/>
            </w:tcBorders>
            <w:vAlign w:val="center"/>
          </w:tcPr>
          <w:p w14:paraId="31591B9C">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0B5818CB">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四十五条</w:t>
            </w:r>
          </w:p>
        </w:tc>
        <w:tc>
          <w:tcPr>
            <w:tcW w:w="1935" w:type="dxa"/>
            <w:tcBorders>
              <w:top w:val="single" w:color="auto" w:sz="4" w:space="0"/>
              <w:left w:val="single" w:color="auto" w:sz="4" w:space="0"/>
              <w:bottom w:val="single" w:color="auto" w:sz="4" w:space="0"/>
              <w:right w:val="single" w:color="auto" w:sz="4" w:space="0"/>
            </w:tcBorders>
            <w:vAlign w:val="center"/>
          </w:tcPr>
          <w:p w14:paraId="7C305BE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定期发放劳保用品，现场查看时工人能正确使用。</w:t>
            </w:r>
          </w:p>
        </w:tc>
        <w:tc>
          <w:tcPr>
            <w:tcW w:w="701" w:type="dxa"/>
            <w:tcBorders>
              <w:top w:val="single" w:color="auto" w:sz="4" w:space="0"/>
              <w:left w:val="single" w:color="auto" w:sz="4" w:space="0"/>
              <w:bottom w:val="single" w:color="auto" w:sz="4" w:space="0"/>
              <w:right w:val="single" w:color="auto" w:sz="4" w:space="0"/>
            </w:tcBorders>
            <w:vAlign w:val="center"/>
          </w:tcPr>
          <w:p w14:paraId="734D1E7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5677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7D32652F">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69018F5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14:paraId="7FC8B1D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185" w:type="dxa"/>
            <w:tcBorders>
              <w:top w:val="single" w:color="auto" w:sz="4" w:space="0"/>
              <w:left w:val="single" w:color="auto" w:sz="4" w:space="0"/>
              <w:bottom w:val="single" w:color="auto" w:sz="4" w:space="0"/>
              <w:right w:val="single" w:color="auto" w:sz="4" w:space="0"/>
            </w:tcBorders>
            <w:vAlign w:val="center"/>
          </w:tcPr>
          <w:p w14:paraId="5C611EB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86EAC7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四十六条</w:t>
            </w:r>
          </w:p>
        </w:tc>
        <w:tc>
          <w:tcPr>
            <w:tcW w:w="1935" w:type="dxa"/>
            <w:tcBorders>
              <w:top w:val="single" w:color="auto" w:sz="4" w:space="0"/>
              <w:left w:val="single" w:color="auto" w:sz="4" w:space="0"/>
              <w:bottom w:val="single" w:color="auto" w:sz="4" w:space="0"/>
              <w:right w:val="single" w:color="auto" w:sz="4" w:space="0"/>
            </w:tcBorders>
            <w:vAlign w:val="center"/>
          </w:tcPr>
          <w:p w14:paraId="6B6FA38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按制度要求进行各类检查，对发现的问题及时进行整改。</w:t>
            </w:r>
          </w:p>
        </w:tc>
        <w:tc>
          <w:tcPr>
            <w:tcW w:w="701" w:type="dxa"/>
            <w:tcBorders>
              <w:top w:val="single" w:color="auto" w:sz="4" w:space="0"/>
              <w:left w:val="single" w:color="auto" w:sz="4" w:space="0"/>
              <w:bottom w:val="single" w:color="auto" w:sz="4" w:space="0"/>
              <w:right w:val="single" w:color="auto" w:sz="4" w:space="0"/>
            </w:tcBorders>
            <w:vAlign w:val="center"/>
          </w:tcPr>
          <w:p w14:paraId="621B981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6AC62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3F05CFC2">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3B908E8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生产经营单位应当安排用于配备劳动防护用品、进行安全生产培训的经费。</w:t>
            </w:r>
          </w:p>
        </w:tc>
        <w:tc>
          <w:tcPr>
            <w:tcW w:w="1185" w:type="dxa"/>
            <w:tcBorders>
              <w:top w:val="single" w:color="auto" w:sz="4" w:space="0"/>
              <w:left w:val="single" w:color="auto" w:sz="4" w:space="0"/>
              <w:bottom w:val="single" w:color="auto" w:sz="4" w:space="0"/>
              <w:right w:val="single" w:color="auto" w:sz="4" w:space="0"/>
            </w:tcBorders>
            <w:vAlign w:val="center"/>
          </w:tcPr>
          <w:p w14:paraId="5EB15E75">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53A1E2D0">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四十七条</w:t>
            </w:r>
          </w:p>
        </w:tc>
        <w:tc>
          <w:tcPr>
            <w:tcW w:w="1935" w:type="dxa"/>
            <w:tcBorders>
              <w:top w:val="single" w:color="auto" w:sz="4" w:space="0"/>
              <w:left w:val="single" w:color="auto" w:sz="4" w:space="0"/>
              <w:bottom w:val="single" w:color="auto" w:sz="4" w:space="0"/>
              <w:right w:val="single" w:color="auto" w:sz="4" w:space="0"/>
            </w:tcBorders>
            <w:vAlign w:val="center"/>
          </w:tcPr>
          <w:p w14:paraId="4E426D40">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有配备劳动防护用品和安全培训的经费。</w:t>
            </w:r>
          </w:p>
        </w:tc>
        <w:tc>
          <w:tcPr>
            <w:tcW w:w="701" w:type="dxa"/>
            <w:tcBorders>
              <w:top w:val="single" w:color="auto" w:sz="4" w:space="0"/>
              <w:left w:val="single" w:color="auto" w:sz="4" w:space="0"/>
              <w:bottom w:val="single" w:color="auto" w:sz="4" w:space="0"/>
              <w:right w:val="single" w:color="auto" w:sz="4" w:space="0"/>
            </w:tcBorders>
            <w:vAlign w:val="center"/>
          </w:tcPr>
          <w:p w14:paraId="7E9EE17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F3973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02E8E3C3">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2747875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生产经营单位不得将生产经营项目、场所、设备发包或者出租给不具备安全生产条件或者相应资质的单位或者个人。</w:t>
            </w:r>
          </w:p>
          <w:p w14:paraId="4BCA0CE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tc>
        <w:tc>
          <w:tcPr>
            <w:tcW w:w="1185" w:type="dxa"/>
            <w:tcBorders>
              <w:top w:val="single" w:color="auto" w:sz="4" w:space="0"/>
              <w:left w:val="single" w:color="auto" w:sz="4" w:space="0"/>
              <w:bottom w:val="single" w:color="auto" w:sz="4" w:space="0"/>
              <w:right w:val="single" w:color="auto" w:sz="4" w:space="0"/>
            </w:tcBorders>
            <w:vAlign w:val="center"/>
          </w:tcPr>
          <w:p w14:paraId="53459D05">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7FA2369D">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四十九条</w:t>
            </w:r>
          </w:p>
        </w:tc>
        <w:tc>
          <w:tcPr>
            <w:tcW w:w="1935" w:type="dxa"/>
            <w:tcBorders>
              <w:top w:val="single" w:color="auto" w:sz="4" w:space="0"/>
              <w:left w:val="single" w:color="auto" w:sz="4" w:space="0"/>
              <w:bottom w:val="single" w:color="auto" w:sz="4" w:space="0"/>
              <w:right w:val="single" w:color="auto" w:sz="4" w:space="0"/>
            </w:tcBorders>
            <w:vAlign w:val="center"/>
          </w:tcPr>
          <w:p w14:paraId="7196ADC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各班组安全生产管理均为企业统一协调、管理。</w:t>
            </w:r>
          </w:p>
        </w:tc>
        <w:tc>
          <w:tcPr>
            <w:tcW w:w="701" w:type="dxa"/>
            <w:tcBorders>
              <w:top w:val="single" w:color="auto" w:sz="4" w:space="0"/>
              <w:left w:val="single" w:color="auto" w:sz="4" w:space="0"/>
              <w:bottom w:val="single" w:color="auto" w:sz="4" w:space="0"/>
              <w:right w:val="single" w:color="auto" w:sz="4" w:space="0"/>
            </w:tcBorders>
            <w:vAlign w:val="center"/>
          </w:tcPr>
          <w:p w14:paraId="57DEA7F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138A2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23029E81">
            <w:pPr>
              <w:numPr>
                <w:ilvl w:val="0"/>
                <w:numId w:val="16"/>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76C8243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生产经营单位必须依法参加工伤保险，为</w:t>
            </w:r>
          </w:p>
          <w:p w14:paraId="30A10DC5">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从业人员缴纳保险费。</w:t>
            </w:r>
          </w:p>
        </w:tc>
        <w:tc>
          <w:tcPr>
            <w:tcW w:w="1185" w:type="dxa"/>
            <w:tcBorders>
              <w:top w:val="single" w:color="auto" w:sz="4" w:space="0"/>
              <w:left w:val="single" w:color="auto" w:sz="4" w:space="0"/>
              <w:bottom w:val="single" w:color="auto" w:sz="4" w:space="0"/>
              <w:right w:val="single" w:color="auto" w:sz="4" w:space="0"/>
            </w:tcBorders>
          </w:tcPr>
          <w:p w14:paraId="65449FF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2AF633C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五十一条</w:t>
            </w:r>
          </w:p>
        </w:tc>
        <w:tc>
          <w:tcPr>
            <w:tcW w:w="1935" w:type="dxa"/>
            <w:tcBorders>
              <w:top w:val="single" w:color="auto" w:sz="4" w:space="0"/>
              <w:left w:val="single" w:color="auto" w:sz="4" w:space="0"/>
              <w:bottom w:val="single" w:color="auto" w:sz="4" w:space="0"/>
              <w:right w:val="single" w:color="auto" w:sz="4" w:space="0"/>
            </w:tcBorders>
            <w:vAlign w:val="center"/>
          </w:tcPr>
          <w:p w14:paraId="6F9F9379">
            <w:pPr>
              <w:adjustRightInd w:val="0"/>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已购买工伤保险。</w:t>
            </w:r>
          </w:p>
        </w:tc>
        <w:tc>
          <w:tcPr>
            <w:tcW w:w="701" w:type="dxa"/>
            <w:tcBorders>
              <w:top w:val="single" w:color="auto" w:sz="4" w:space="0"/>
              <w:left w:val="single" w:color="auto" w:sz="4" w:space="0"/>
              <w:bottom w:val="single" w:color="auto" w:sz="4" w:space="0"/>
              <w:right w:val="single" w:color="auto" w:sz="4" w:space="0"/>
            </w:tcBorders>
            <w:vAlign w:val="center"/>
          </w:tcPr>
          <w:p w14:paraId="404F3F6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0D33F39F">
      <w:pPr>
        <w:pStyle w:val="216"/>
        <w:keepNext w:val="0"/>
        <w:keepLines w:val="0"/>
        <w:pageBreakBefore w:val="0"/>
        <w:widowControl w:val="0"/>
        <w:kinsoku/>
        <w:wordWrap/>
        <w:overflowPunct/>
        <w:topLinePunct w:val="0"/>
        <w:autoSpaceDE/>
        <w:autoSpaceDN/>
        <w:bidi w:val="0"/>
        <w:adjustRightInd w:val="0"/>
        <w:snapToGrid w:val="0"/>
        <w:textAlignment w:val="auto"/>
        <w:rPr>
          <w:rFonts w:asciiTheme="minorEastAsia" w:hAnsiTheme="minorEastAsia" w:eastAsiaTheme="minorEastAsia"/>
          <w:snapToGrid w:val="0"/>
          <w:color w:val="000000" w:themeColor="text1"/>
          <w14:textFill>
            <w14:solidFill>
              <w14:schemeClr w14:val="tx1"/>
            </w14:solidFill>
          </w14:textFill>
        </w:rPr>
      </w:pPr>
      <w:r>
        <w:rPr>
          <w:rFonts w:hint="eastAsia" w:asciiTheme="minorEastAsia" w:hAnsiTheme="minorEastAsia" w:eastAsiaTheme="minorEastAsia"/>
          <w:snapToGrid w:val="0"/>
          <w:color w:val="000000" w:themeColor="text1"/>
          <w14:textFill>
            <w14:solidFill>
              <w14:schemeClr w14:val="tx1"/>
            </w14:solidFill>
          </w14:textFill>
        </w:rPr>
        <w:t>检查评价结果：</w:t>
      </w:r>
    </w:p>
    <w:p w14:paraId="5EED464F">
      <w:pPr>
        <w:pStyle w:val="216"/>
        <w:keepNext w:val="0"/>
        <w:keepLines w:val="0"/>
        <w:pageBreakBefore w:val="0"/>
        <w:widowControl w:val="0"/>
        <w:kinsoku/>
        <w:wordWrap/>
        <w:overflowPunct/>
        <w:topLinePunct w:val="0"/>
        <w:autoSpaceDE/>
        <w:autoSpaceDN/>
        <w:bidi w:val="0"/>
        <w:adjustRightInd w:val="0"/>
        <w:snapToGrid w:val="0"/>
        <w:textAlignment w:val="auto"/>
        <w:rPr>
          <w:rFonts w:asciiTheme="minorEastAsia" w:hAnsiTheme="minorEastAsia" w:eastAsiaTheme="minorEastAsia"/>
          <w:snapToGrid w:val="0"/>
          <w:color w:val="000000" w:themeColor="text1"/>
          <w14:textFill>
            <w14:solidFill>
              <w14:schemeClr w14:val="tx1"/>
            </w14:solidFill>
          </w14:textFill>
        </w:rPr>
      </w:pPr>
      <w:r>
        <w:rPr>
          <w:rFonts w:hint="eastAsia" w:asciiTheme="minorEastAsia" w:hAnsiTheme="minorEastAsia" w:eastAsiaTheme="minorEastAsia"/>
          <w:snapToGrid w:val="0"/>
          <w:color w:val="000000" w:themeColor="text1"/>
          <w14:textFill>
            <w14:solidFill>
              <w14:schemeClr w14:val="tx1"/>
            </w14:solidFill>
          </w14:textFill>
        </w:rPr>
        <w:t>公司成立了安全生产领导小组，</w:t>
      </w:r>
      <w:r>
        <w:rPr>
          <w:rFonts w:hint="eastAsia" w:asciiTheme="minorEastAsia" w:hAnsiTheme="minorEastAsia" w:eastAsiaTheme="minorEastAsia"/>
          <w:snapToGrid w:val="0"/>
          <w:color w:val="000000" w:themeColor="text1"/>
          <w:lang w:val="en-US" w:eastAsia="zh-CN"/>
          <w14:textFill>
            <w14:solidFill>
              <w14:schemeClr w14:val="tx1"/>
            </w14:solidFill>
          </w14:textFill>
        </w:rPr>
        <w:t>配备</w:t>
      </w:r>
      <w:r>
        <w:rPr>
          <w:rFonts w:hint="eastAsia" w:asciiTheme="minorEastAsia" w:hAnsiTheme="minorEastAsia" w:eastAsiaTheme="minorEastAsia"/>
          <w:snapToGrid w:val="0"/>
          <w:color w:val="000000" w:themeColor="text1"/>
          <w14:textFill>
            <w14:solidFill>
              <w14:schemeClr w14:val="tx1"/>
            </w14:solidFill>
          </w14:textFill>
        </w:rPr>
        <w:t>专职安全</w:t>
      </w:r>
      <w:r>
        <w:rPr>
          <w:rFonts w:hint="eastAsia" w:asciiTheme="minorEastAsia" w:hAnsiTheme="minorEastAsia" w:eastAsiaTheme="minorEastAsia"/>
          <w:snapToGrid w:val="0"/>
          <w:color w:val="000000" w:themeColor="text1"/>
          <w:lang w:val="en-US" w:eastAsia="zh-CN"/>
          <w14:textFill>
            <w14:solidFill>
              <w14:schemeClr w14:val="tx1"/>
            </w14:solidFill>
          </w14:textFill>
        </w:rPr>
        <w:t>管理员</w:t>
      </w:r>
      <w:r>
        <w:rPr>
          <w:rFonts w:hint="eastAsia" w:asciiTheme="minorEastAsia" w:hAnsiTheme="minorEastAsia" w:eastAsiaTheme="minorEastAsia"/>
          <w:snapToGrid w:val="0"/>
          <w:color w:val="000000" w:themeColor="text1"/>
          <w14:textFill>
            <w14:solidFill>
              <w14:schemeClr w14:val="tx1"/>
            </w14:solidFill>
          </w14:textFill>
        </w:rPr>
        <w:t>，制定了相应的安全生产责任制、安全生产管理规章制度和安全操作规程，各类安全检查、安全教育培训均能正常开展。主要负责人、特种作业人员均持证上岗。</w:t>
      </w:r>
    </w:p>
    <w:p w14:paraId="2C06F8A0">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814" w:name="_Toc18546"/>
      <w:bookmarkStart w:id="815" w:name="_Toc16893"/>
      <w:bookmarkStart w:id="816" w:name="_Toc20915"/>
      <w:bookmarkStart w:id="817" w:name="_Toc7727"/>
      <w:bookmarkStart w:id="818" w:name="_Toc472000511"/>
      <w:bookmarkStart w:id="819" w:name="_Toc455045022"/>
      <w:bookmarkStart w:id="820" w:name="_Toc465848474"/>
      <w:r>
        <w:rPr>
          <w:rFonts w:hint="eastAsia" w:ascii="Times New Roman" w:hAnsi="Times New Roman" w:eastAsia="黑体" w:cs="Times New Roman"/>
          <w:color w:val="000000" w:themeColor="text1"/>
          <w:lang w:val="en-US" w:eastAsia="zh-CN"/>
          <w14:textFill>
            <w14:solidFill>
              <w14:schemeClr w14:val="tx1"/>
            </w14:solidFill>
          </w14:textFill>
        </w:rPr>
        <w:t>5.5.2 应急</w:t>
      </w:r>
      <w:bookmarkEnd w:id="814"/>
      <w:bookmarkEnd w:id="815"/>
      <w:r>
        <w:rPr>
          <w:rFonts w:hint="eastAsia" w:ascii="Times New Roman" w:hAnsi="Times New Roman" w:eastAsia="黑体" w:cs="Times New Roman"/>
          <w:color w:val="000000" w:themeColor="text1"/>
          <w:lang w:val="en-US" w:eastAsia="zh-CN"/>
          <w14:textFill>
            <w14:solidFill>
              <w14:schemeClr w14:val="tx1"/>
            </w14:solidFill>
          </w14:textFill>
        </w:rPr>
        <w:t>救援预案</w:t>
      </w:r>
      <w:bookmarkEnd w:id="816"/>
      <w:bookmarkEnd w:id="817"/>
    </w:p>
    <w:bookmarkEnd w:id="818"/>
    <w:bookmarkEnd w:id="819"/>
    <w:bookmarkEnd w:id="820"/>
    <w:p w14:paraId="20F68C0D">
      <w:pPr>
        <w:adjustRightInd w:val="0"/>
        <w:snapToGrid w:val="0"/>
        <w:spacing w:line="480" w:lineRule="exact"/>
        <w:ind w:firstLine="560"/>
        <w:rPr>
          <w:rFonts w:hint="eastAsia" w:cs="宋体" w:asciiTheme="minorEastAsia" w:hAnsiTheme="minorEastAsia" w:eastAsiaTheme="minorEastAsia"/>
          <w:snapToGrid w:val="0"/>
          <w:color w:val="000000" w:themeColor="text1"/>
          <w:kern w:val="2"/>
          <w:sz w:val="28"/>
          <w:szCs w:val="28"/>
          <w:lang w:val="en-US" w:eastAsia="zh-CN" w:bidi="ar-SA"/>
          <w14:textFill>
            <w14:solidFill>
              <w14:schemeClr w14:val="tx1"/>
            </w14:solidFill>
          </w14:textFill>
        </w:rPr>
      </w:pPr>
      <w:r>
        <w:rPr>
          <w:rFonts w:hint="eastAsia" w:cs="宋体" w:asciiTheme="minorEastAsia" w:hAnsiTheme="minorEastAsia" w:eastAsiaTheme="minorEastAsia"/>
          <w:snapToGrid w:val="0"/>
          <w:color w:val="000000" w:themeColor="text1"/>
          <w:kern w:val="2"/>
          <w:sz w:val="28"/>
          <w:szCs w:val="28"/>
          <w:lang w:val="en-US" w:eastAsia="zh-CN" w:bidi="ar-SA"/>
          <w14:textFill>
            <w14:solidFill>
              <w14:schemeClr w14:val="tx1"/>
            </w14:solidFill>
          </w14:textFill>
        </w:rPr>
        <w:t>根据《中华人民共和国安全生产法》（中华人民共和国主席令第七十号，中华人民共和国主席令第八十八号修改）、《生产安全事故应急预案管理办法》（国家安全生产监督管理总局令第88号，根据应急管理部2号令修正）等法律法规的要求，对项目的事故应急救援管理进行分析评价。</w:t>
      </w:r>
    </w:p>
    <w:p w14:paraId="648E0C23">
      <w:pPr>
        <w:adjustRightInd w:val="0"/>
        <w:snapToGrid w:val="0"/>
        <w:spacing w:line="480" w:lineRule="exact"/>
        <w:ind w:firstLine="802" w:firstLineChars="333"/>
        <w:jc w:val="center"/>
        <w:rPr>
          <w:rFonts w:ascii="宋体" w:hAnsi="宋体"/>
          <w:b/>
          <w:bCs/>
          <w:color w:val="000000" w:themeColor="text1"/>
          <w:sz w:val="24"/>
          <w:szCs w:val="24"/>
          <w14:textFill>
            <w14:solidFill>
              <w14:schemeClr w14:val="tx1"/>
            </w14:solidFill>
          </w14:textFill>
        </w:rPr>
      </w:pPr>
      <w:r>
        <w:rPr>
          <w:rFonts w:hint="eastAsia" w:cs="宋体" w:asciiTheme="minorEastAsia" w:hAnsiTheme="minorEastAsia" w:eastAsiaTheme="minorEastAsia"/>
          <w:b/>
          <w:bCs/>
          <w:snapToGrid w:val="0"/>
          <w:color w:val="000000" w:themeColor="text1"/>
          <w:kern w:val="2"/>
          <w:sz w:val="24"/>
          <w:szCs w:val="24"/>
          <w:lang w:val="en-US" w:eastAsia="zh-CN" w:bidi="ar-SA"/>
          <w14:textFill>
            <w14:solidFill>
              <w14:schemeClr w14:val="tx1"/>
            </w14:solidFill>
          </w14:textFill>
        </w:rPr>
        <w:t>表5-10</w:t>
      </w:r>
      <w:r>
        <w:rPr>
          <w:rFonts w:ascii="宋体" w:hAnsi="宋体"/>
          <w:b/>
          <w:bCs/>
          <w:color w:val="000000" w:themeColor="text1"/>
          <w:sz w:val="24"/>
          <w:szCs w:val="24"/>
          <w14:textFill>
            <w14:solidFill>
              <w14:schemeClr w14:val="tx1"/>
            </w14:solidFill>
          </w14:textFill>
        </w:rPr>
        <w:t>事故应急救援预案检查表</w:t>
      </w:r>
    </w:p>
    <w:tbl>
      <w:tblPr>
        <w:tblStyle w:val="51"/>
        <w:tblW w:w="906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2"/>
        <w:gridCol w:w="3438"/>
        <w:gridCol w:w="2127"/>
        <w:gridCol w:w="2126"/>
        <w:gridCol w:w="709"/>
      </w:tblGrid>
      <w:tr w14:paraId="5021BE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tblHeader/>
          <w:jc w:val="center"/>
        </w:trPr>
        <w:tc>
          <w:tcPr>
            <w:tcW w:w="662" w:type="dxa"/>
            <w:tcBorders>
              <w:top w:val="single" w:color="auto" w:sz="4" w:space="0"/>
              <w:left w:val="single" w:color="auto" w:sz="4" w:space="0"/>
              <w:bottom w:val="single" w:color="auto" w:sz="4" w:space="0"/>
              <w:right w:val="single" w:color="auto" w:sz="4" w:space="0"/>
            </w:tcBorders>
            <w:vAlign w:val="center"/>
          </w:tcPr>
          <w:p w14:paraId="32429D00">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3438" w:type="dxa"/>
            <w:tcBorders>
              <w:top w:val="single" w:color="auto" w:sz="4" w:space="0"/>
              <w:left w:val="single" w:color="auto" w:sz="4" w:space="0"/>
              <w:bottom w:val="single" w:color="auto" w:sz="4" w:space="0"/>
              <w:right w:val="single" w:color="auto" w:sz="4" w:space="0"/>
            </w:tcBorders>
            <w:vAlign w:val="center"/>
          </w:tcPr>
          <w:p w14:paraId="5A67A9C7">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检查内容</w:t>
            </w:r>
          </w:p>
        </w:tc>
        <w:tc>
          <w:tcPr>
            <w:tcW w:w="2127" w:type="dxa"/>
            <w:tcBorders>
              <w:top w:val="single" w:color="auto" w:sz="4" w:space="0"/>
              <w:left w:val="single" w:color="auto" w:sz="4" w:space="0"/>
              <w:bottom w:val="single" w:color="auto" w:sz="4" w:space="0"/>
              <w:right w:val="single" w:color="auto" w:sz="4" w:space="0"/>
            </w:tcBorders>
            <w:vAlign w:val="center"/>
          </w:tcPr>
          <w:p w14:paraId="6EBBA3CF">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依据标准</w:t>
            </w:r>
          </w:p>
        </w:tc>
        <w:tc>
          <w:tcPr>
            <w:tcW w:w="2126" w:type="dxa"/>
            <w:tcBorders>
              <w:top w:val="single" w:color="auto" w:sz="4" w:space="0"/>
              <w:left w:val="single" w:color="auto" w:sz="4" w:space="0"/>
              <w:bottom w:val="single" w:color="auto" w:sz="4" w:space="0"/>
              <w:right w:val="single" w:color="auto" w:sz="4" w:space="0"/>
            </w:tcBorders>
            <w:vAlign w:val="center"/>
          </w:tcPr>
          <w:p w14:paraId="2125147A">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709" w:type="dxa"/>
            <w:tcBorders>
              <w:top w:val="single" w:color="auto" w:sz="4" w:space="0"/>
              <w:left w:val="single" w:color="auto" w:sz="4" w:space="0"/>
              <w:bottom w:val="single" w:color="auto" w:sz="4" w:space="0"/>
              <w:right w:val="single" w:color="auto" w:sz="4" w:space="0"/>
            </w:tcBorders>
            <w:vAlign w:val="center"/>
          </w:tcPr>
          <w:p w14:paraId="48598DF6">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结论</w:t>
            </w:r>
          </w:p>
        </w:tc>
      </w:tr>
      <w:tr w14:paraId="19959C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281E32B6">
            <w:pPr>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0580749F">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生产经营单位应当制定本单位生产安全事故应急救援预案，与所在地县级以上地方人民政府组织制定的生产安全事故应急救援预案相衔接，并定期组织演练。</w:t>
            </w:r>
          </w:p>
        </w:tc>
        <w:tc>
          <w:tcPr>
            <w:tcW w:w="2127" w:type="dxa"/>
            <w:tcBorders>
              <w:top w:val="single" w:color="auto" w:sz="4" w:space="0"/>
              <w:left w:val="single" w:color="auto" w:sz="4" w:space="0"/>
              <w:bottom w:val="single" w:color="auto" w:sz="4" w:space="0"/>
              <w:right w:val="single" w:color="auto" w:sz="4" w:space="0"/>
            </w:tcBorders>
            <w:vAlign w:val="center"/>
          </w:tcPr>
          <w:p w14:paraId="4D8BBE5F">
            <w:pPr>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《中华人民共和国安全生产法》（中华人民共和国主席令第七十号，中华人民共和国主席令第八十八号修改）</w:t>
            </w:r>
          </w:p>
          <w:p w14:paraId="5E11DEB9">
            <w:pPr>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第七十八条</w:t>
            </w:r>
          </w:p>
        </w:tc>
        <w:tc>
          <w:tcPr>
            <w:tcW w:w="2126" w:type="dxa"/>
            <w:tcBorders>
              <w:top w:val="single" w:color="auto" w:sz="4" w:space="0"/>
              <w:left w:val="single" w:color="auto" w:sz="4" w:space="0"/>
              <w:bottom w:val="single" w:color="auto" w:sz="4" w:space="0"/>
              <w:right w:val="single" w:color="auto" w:sz="4" w:space="0"/>
            </w:tcBorders>
            <w:vAlign w:val="center"/>
          </w:tcPr>
          <w:p w14:paraId="5D101A13">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企业制定了生产安全事故应急救援预案</w:t>
            </w:r>
            <w:r>
              <w:rPr>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14:paraId="65A43345">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07EBB2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682D002C">
            <w:pPr>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3586FEFA">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矿山、金属冶炼、建筑施工企业和易燃易爆物品、危险化学品的生产、经营（带储存设施的，下同）、储存企业，以及使用危险化学品达到国家规定数量的化工企业、烟花爆竹生产、批发经营企业和中型规模以上的其他生产经营单位，应当对本单位编制的应急预案进行评审，并形成书面评审纪要。</w:t>
            </w:r>
          </w:p>
          <w:p w14:paraId="528A1DFE">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前款规定以外的其他生产经营单位应当对本单位编制的应急预案进行论证。</w:t>
            </w:r>
          </w:p>
        </w:tc>
        <w:tc>
          <w:tcPr>
            <w:tcW w:w="2127" w:type="dxa"/>
            <w:tcBorders>
              <w:top w:val="single" w:color="auto" w:sz="4" w:space="0"/>
              <w:left w:val="single" w:color="auto" w:sz="4" w:space="0"/>
              <w:bottom w:val="single" w:color="auto" w:sz="4" w:space="0"/>
              <w:right w:val="single" w:color="auto" w:sz="4" w:space="0"/>
            </w:tcBorders>
            <w:vAlign w:val="center"/>
          </w:tcPr>
          <w:p w14:paraId="35565B27">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《生产安全事故应急预案管理办法》</w:t>
            </w:r>
          </w:p>
          <w:p w14:paraId="1F33DB19">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（国家安全生产监督管理总局令第88号，根据应急管理部2号令修正）</w:t>
            </w:r>
          </w:p>
          <w:p w14:paraId="7A840A64">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第二十一条</w:t>
            </w:r>
          </w:p>
        </w:tc>
        <w:tc>
          <w:tcPr>
            <w:tcW w:w="2126" w:type="dxa"/>
            <w:tcBorders>
              <w:top w:val="single" w:color="auto" w:sz="4" w:space="0"/>
              <w:left w:val="single" w:color="auto" w:sz="4" w:space="0"/>
              <w:bottom w:val="single" w:color="auto" w:sz="4" w:space="0"/>
              <w:right w:val="single" w:color="auto" w:sz="4" w:space="0"/>
            </w:tcBorders>
            <w:vAlign w:val="center"/>
          </w:tcPr>
          <w:p w14:paraId="1490B337">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企业制定了生产安全事故应急救援预案，并对应急预案进行评审，形成书面评审纪要</w:t>
            </w:r>
            <w:r>
              <w:rPr>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14:paraId="768A0AC8">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726664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5AAFF47F">
            <w:pPr>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585195BB">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tc>
        <w:tc>
          <w:tcPr>
            <w:tcW w:w="2127" w:type="dxa"/>
            <w:tcBorders>
              <w:top w:val="single" w:color="auto" w:sz="4" w:space="0"/>
              <w:left w:val="single" w:color="auto" w:sz="4" w:space="0"/>
              <w:bottom w:val="single" w:color="auto" w:sz="4" w:space="0"/>
              <w:right w:val="single" w:color="auto" w:sz="4" w:space="0"/>
            </w:tcBorders>
            <w:vAlign w:val="center"/>
          </w:tcPr>
          <w:p w14:paraId="4AF5A661">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《生产安全事故应急预案管理办法》</w:t>
            </w:r>
          </w:p>
          <w:p w14:paraId="730F73CE">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（国家安全生产监督管理总局令第88号，根据应急管理部2号令修正）</w:t>
            </w:r>
          </w:p>
          <w:p w14:paraId="593CA87F">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第二十六条</w:t>
            </w:r>
          </w:p>
        </w:tc>
        <w:tc>
          <w:tcPr>
            <w:tcW w:w="2126" w:type="dxa"/>
            <w:tcBorders>
              <w:top w:val="single" w:color="auto" w:sz="4" w:space="0"/>
              <w:left w:val="single" w:color="auto" w:sz="4" w:space="0"/>
              <w:bottom w:val="single" w:color="auto" w:sz="4" w:space="0"/>
              <w:right w:val="single" w:color="auto" w:sz="4" w:space="0"/>
            </w:tcBorders>
            <w:vAlign w:val="center"/>
          </w:tcPr>
          <w:p w14:paraId="3E0D8C8B">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已报送应急管理局备案。</w:t>
            </w:r>
          </w:p>
        </w:tc>
        <w:tc>
          <w:tcPr>
            <w:tcW w:w="709" w:type="dxa"/>
            <w:tcBorders>
              <w:top w:val="single" w:color="auto" w:sz="4" w:space="0"/>
              <w:left w:val="single" w:color="auto" w:sz="4" w:space="0"/>
              <w:bottom w:val="single" w:color="auto" w:sz="4" w:space="0"/>
              <w:right w:val="single" w:color="auto" w:sz="4" w:space="0"/>
            </w:tcBorders>
            <w:vAlign w:val="center"/>
          </w:tcPr>
          <w:p w14:paraId="5C356AA9">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5F8F3C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6719B8DC">
            <w:pPr>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11091EDF">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各级应急管理部门应当将本部门应急预案的培训纳入安全生产培训工作计划，并组织实施本行政区域内重点生产经营单位的应急预案培训工作。</w:t>
            </w:r>
          </w:p>
          <w:p w14:paraId="36907E1B">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生产经营单位应当组织开展本单位的应急预案、应急知识、自救互救和避险逃生技能的培训活动，使有关人员了解应急预案内容，熟悉应急职责、应急处置程序和措施。</w:t>
            </w:r>
          </w:p>
          <w:p w14:paraId="6F8C04ED">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应急培训的时间、地点、内容、师资、参加人员和考核结果等情况应当如实记入本单位的安全生产教育和培训档案。</w:t>
            </w:r>
          </w:p>
        </w:tc>
        <w:tc>
          <w:tcPr>
            <w:tcW w:w="2127" w:type="dxa"/>
            <w:tcBorders>
              <w:top w:val="single" w:color="auto" w:sz="4" w:space="0"/>
              <w:left w:val="single" w:color="auto" w:sz="4" w:space="0"/>
              <w:bottom w:val="single" w:color="auto" w:sz="4" w:space="0"/>
              <w:right w:val="single" w:color="auto" w:sz="4" w:space="0"/>
            </w:tcBorders>
            <w:vAlign w:val="center"/>
          </w:tcPr>
          <w:p w14:paraId="4D000CAD">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《生产安全事故应急预案管理办法》</w:t>
            </w:r>
          </w:p>
          <w:p w14:paraId="5E1DA3F8">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（国家安全生产监督管理总局令第88号，根据应急管理部2号令修正）</w:t>
            </w:r>
          </w:p>
          <w:p w14:paraId="2D143738">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bookmarkStart w:id="821" w:name="_Toc2253647"/>
            <w:bookmarkStart w:id="822" w:name="_Toc510859842"/>
            <w:bookmarkStart w:id="823" w:name="_Toc523950027"/>
            <w:bookmarkStart w:id="824" w:name="_Toc494296193"/>
            <w:r>
              <w:rPr>
                <w:rFonts w:ascii="Times New Roman" w:hAnsi="Times New Roman" w:eastAsia="宋体" w:cs="Times New Roman"/>
                <w:color w:val="000000" w:themeColor="text1"/>
                <w:sz w:val="21"/>
                <w:szCs w:val="21"/>
                <w14:textFill>
                  <w14:solidFill>
                    <w14:schemeClr w14:val="tx1"/>
                  </w14:solidFill>
                </w14:textFill>
              </w:rPr>
              <w:t>第三十一条</w:t>
            </w:r>
            <w:bookmarkEnd w:id="821"/>
            <w:bookmarkEnd w:id="822"/>
            <w:bookmarkEnd w:id="823"/>
            <w:bookmarkEnd w:id="824"/>
          </w:p>
        </w:tc>
        <w:tc>
          <w:tcPr>
            <w:tcW w:w="2126" w:type="dxa"/>
            <w:tcBorders>
              <w:top w:val="single" w:color="auto" w:sz="4" w:space="0"/>
              <w:left w:val="single" w:color="auto" w:sz="4" w:space="0"/>
              <w:bottom w:val="single" w:color="auto" w:sz="4" w:space="0"/>
              <w:right w:val="single" w:color="auto" w:sz="4" w:space="0"/>
            </w:tcBorders>
            <w:vAlign w:val="center"/>
          </w:tcPr>
          <w:p w14:paraId="4079D43F">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企业</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按要求</w:t>
            </w:r>
            <w:r>
              <w:rPr>
                <w:rFonts w:hint="eastAsia" w:ascii="Times New Roman" w:hAnsi="Times New Roman" w:eastAsia="宋体" w:cs="Times New Roman"/>
                <w:color w:val="000000" w:themeColor="text1"/>
                <w:sz w:val="21"/>
                <w:szCs w:val="21"/>
                <w14:textFill>
                  <w14:solidFill>
                    <w14:schemeClr w14:val="tx1"/>
                  </w14:solidFill>
                </w14:textFill>
              </w:rPr>
              <w:t>组织开展应急预案、应急知识、自救互救和避险逃生技能的培训活动</w:t>
            </w:r>
            <w:r>
              <w:rPr>
                <w:rFonts w:ascii="Times New Roman" w:hAnsi="Times New Roman" w:eastAsia="宋体" w:cs="Times New Roman"/>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14:paraId="1E38CB34">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58F833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3B2CCBB8">
            <w:pPr>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27F7247E">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生产经营单位应当按照应急预案的规定，落实应急指挥体系、应急救援队伍、应急物资及装备，建立应急物资、装备配备及其使用档案，并对应急物资、装备进行定期检测和维护，使其处于适用状态。</w:t>
            </w:r>
          </w:p>
        </w:tc>
        <w:tc>
          <w:tcPr>
            <w:tcW w:w="2127" w:type="dxa"/>
            <w:tcBorders>
              <w:top w:val="single" w:color="auto" w:sz="4" w:space="0"/>
              <w:left w:val="single" w:color="auto" w:sz="4" w:space="0"/>
              <w:bottom w:val="single" w:color="auto" w:sz="4" w:space="0"/>
              <w:right w:val="single" w:color="auto" w:sz="4" w:space="0"/>
            </w:tcBorders>
            <w:vAlign w:val="center"/>
          </w:tcPr>
          <w:p w14:paraId="7AE1E7CF">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《生产安全事故应急预案管理办法》</w:t>
            </w:r>
          </w:p>
          <w:p w14:paraId="5A3A1DEB">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（国家安全生产监督管理总局令第88号，根据应急管理部2号令修正）</w:t>
            </w:r>
          </w:p>
          <w:p w14:paraId="7FA6DB8C">
            <w:pPr>
              <w:spacing w:line="240" w:lineRule="auto"/>
              <w:ind w:firstLine="0" w:firstLineChars="0"/>
              <w:jc w:val="center"/>
              <w:rPr>
                <w:color w:val="000000" w:themeColor="text1"/>
                <w:sz w:val="21"/>
                <w:szCs w:val="21"/>
                <w14:textFill>
                  <w14:solidFill>
                    <w14:schemeClr w14:val="tx1"/>
                  </w14:solidFill>
                </w14:textFill>
              </w:rPr>
            </w:pPr>
            <w:bookmarkStart w:id="825" w:name="_Toc523950029"/>
            <w:bookmarkStart w:id="826" w:name="_Toc2253649"/>
            <w:bookmarkStart w:id="827" w:name="_Toc494296195"/>
            <w:bookmarkStart w:id="828" w:name="_Toc510859844"/>
            <w:r>
              <w:rPr>
                <w:color w:val="000000" w:themeColor="text1"/>
                <w:sz w:val="21"/>
                <w:szCs w:val="21"/>
                <w14:textFill>
                  <w14:solidFill>
                    <w14:schemeClr w14:val="tx1"/>
                  </w14:solidFill>
                </w14:textFill>
              </w:rPr>
              <w:t>第三十八条</w:t>
            </w:r>
            <w:bookmarkEnd w:id="825"/>
            <w:bookmarkEnd w:id="826"/>
            <w:bookmarkEnd w:id="827"/>
            <w:bookmarkEnd w:id="828"/>
          </w:p>
        </w:tc>
        <w:tc>
          <w:tcPr>
            <w:tcW w:w="2126" w:type="dxa"/>
            <w:tcBorders>
              <w:top w:val="single" w:color="auto" w:sz="4" w:space="0"/>
              <w:left w:val="single" w:color="auto" w:sz="4" w:space="0"/>
              <w:bottom w:val="single" w:color="auto" w:sz="4" w:space="0"/>
              <w:right w:val="single" w:color="auto" w:sz="4" w:space="0"/>
            </w:tcBorders>
            <w:vAlign w:val="center"/>
          </w:tcPr>
          <w:p w14:paraId="3A0EA47A">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企业按照应急预案的规定，落实了应急指挥体系、应急救援队伍、应急物资及装备，应急物资、装备进行处于适用状态。</w:t>
            </w:r>
          </w:p>
        </w:tc>
        <w:tc>
          <w:tcPr>
            <w:tcW w:w="709" w:type="dxa"/>
            <w:tcBorders>
              <w:top w:val="single" w:color="auto" w:sz="4" w:space="0"/>
              <w:left w:val="single" w:color="auto" w:sz="4" w:space="0"/>
              <w:bottom w:val="single" w:color="auto" w:sz="4" w:space="0"/>
              <w:right w:val="single" w:color="auto" w:sz="4" w:space="0"/>
            </w:tcBorders>
            <w:vAlign w:val="center"/>
          </w:tcPr>
          <w:p w14:paraId="20144B30">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3C37BE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27B612B8">
            <w:pPr>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shd w:val="clear" w:color="auto" w:fill="auto"/>
            <w:vAlign w:val="center"/>
          </w:tcPr>
          <w:p w14:paraId="5EDF30A9">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生产经营单位应当制定本单位的应急预案演练计划，根据本单位的事故风险特点，每年至少组织一次综合应急预案演练或者专项应急预案演练，每半年至少组织一次现场处置方案演练。</w:t>
            </w:r>
          </w:p>
        </w:tc>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14:paraId="31E67CD2">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《生产安全事故应急预案管理办法》第三十三条</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14:paraId="05281C1B">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w:t>
            </w:r>
            <w:r>
              <w:rPr>
                <w:rFonts w:hint="eastAsia" w:ascii="宋体" w:hAnsi="宋体" w:eastAsia="宋体" w:cs="宋体"/>
                <w:color w:val="000000" w:themeColor="text1"/>
                <w:sz w:val="21"/>
                <w:szCs w:val="21"/>
                <w:lang w:val="en-US" w:eastAsia="zh-CN"/>
                <w14:textFill>
                  <w14:solidFill>
                    <w14:schemeClr w14:val="tx1"/>
                  </w14:solidFill>
                </w14:textFill>
              </w:rPr>
              <w:t>未</w:t>
            </w:r>
            <w:r>
              <w:rPr>
                <w:rFonts w:hint="eastAsia" w:ascii="宋体" w:hAnsi="宋体" w:eastAsia="宋体" w:cs="宋体"/>
                <w:color w:val="000000" w:themeColor="text1"/>
                <w:sz w:val="21"/>
                <w:szCs w:val="21"/>
                <w14:textFill>
                  <w14:solidFill>
                    <w14:schemeClr w14:val="tx1"/>
                  </w14:solidFill>
                </w14:textFill>
              </w:rPr>
              <w:t>定期组织演练。</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CBC3986">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w:t>
            </w:r>
            <w:r>
              <w:rPr>
                <w:rFonts w:hint="eastAsia" w:ascii="宋体" w:hAnsi="宋体" w:eastAsia="宋体" w:cs="宋体"/>
                <w:color w:val="000000" w:themeColor="text1"/>
                <w:sz w:val="21"/>
                <w:szCs w:val="21"/>
                <w14:textFill>
                  <w14:solidFill>
                    <w14:schemeClr w14:val="tx1"/>
                  </w14:solidFill>
                </w14:textFill>
              </w:rPr>
              <w:t>符合</w:t>
            </w:r>
          </w:p>
        </w:tc>
      </w:tr>
    </w:tbl>
    <w:p w14:paraId="7EDA730A">
      <w:pPr>
        <w:pStyle w:val="216"/>
        <w:adjustRightInd w:val="0"/>
        <w:snapToGrid w:val="0"/>
        <w:ind w:left="0" w:leftChars="0" w:firstLine="560" w:firstLineChars="200"/>
        <w:rPr>
          <w:rFonts w:hint="default" w:ascii="宋体" w:hAnsi="宋体" w:eastAsia="宋体"/>
          <w:snapToGrid w:val="0"/>
          <w:color w:val="000000" w:themeColor="text1"/>
          <w:lang w:val="en-US" w:eastAsia="zh-CN"/>
          <w14:textFill>
            <w14:solidFill>
              <w14:schemeClr w14:val="tx1"/>
            </w14:solidFill>
          </w14:textFill>
        </w:rPr>
      </w:pPr>
      <w:r>
        <w:rPr>
          <w:rFonts w:hint="eastAsia" w:ascii="宋体" w:hAnsi="宋体"/>
          <w:snapToGrid w:val="0"/>
          <w:color w:val="000000" w:themeColor="text1"/>
          <w:lang w:val="en-US" w:eastAsia="zh-CN"/>
          <w14:textFill>
            <w14:solidFill>
              <w14:schemeClr w14:val="tx1"/>
            </w14:solidFill>
          </w14:textFill>
        </w:rPr>
        <w:t>牟定乾泰建材有限公司</w:t>
      </w:r>
      <w:r>
        <w:rPr>
          <w:rFonts w:hint="eastAsia" w:ascii="宋体" w:hAnsi="宋体"/>
          <w:snapToGrid w:val="0"/>
          <w:color w:val="000000" w:themeColor="text1"/>
          <w14:textFill>
            <w14:solidFill>
              <w14:schemeClr w14:val="tx1"/>
            </w14:solidFill>
          </w14:textFill>
        </w:rPr>
        <w:t>编制了生产安全事故综合应急预案，组织专家对预案进行了评审，颁布实施，已备案</w:t>
      </w:r>
      <w:r>
        <w:rPr>
          <w:rFonts w:hint="eastAsia" w:hAnsi="宋体"/>
          <w:snapToGrid w:val="0"/>
          <w:color w:val="000000" w:themeColor="text1"/>
          <w:lang w:eastAsia="zh-CN"/>
          <w14:textFill>
            <w14:solidFill>
              <w14:schemeClr w14:val="tx1"/>
            </w14:solidFill>
          </w14:textFill>
        </w:rPr>
        <w:t>，</w:t>
      </w:r>
      <w:r>
        <w:rPr>
          <w:rFonts w:hint="eastAsia" w:hAnsi="宋体"/>
          <w:snapToGrid w:val="0"/>
          <w:color w:val="000000" w:themeColor="text1"/>
          <w:lang w:val="en-US" w:eastAsia="zh-CN"/>
          <w14:textFill>
            <w14:solidFill>
              <w14:schemeClr w14:val="tx1"/>
            </w14:solidFill>
          </w14:textFill>
        </w:rPr>
        <w:t>但未定期组织演练。</w:t>
      </w:r>
    </w:p>
    <w:p w14:paraId="2A4B211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Times New Roman" w:hAnsi="Times New Roman" w:eastAsia="黑体" w:cs="Times New Roman"/>
          <w:color w:val="000000" w:themeColor="text1"/>
          <w:lang w:val="en-US" w:eastAsia="zh-CN"/>
          <w14:textFill>
            <w14:solidFill>
              <w14:schemeClr w14:val="tx1"/>
            </w14:solidFill>
          </w14:textFill>
        </w:rPr>
      </w:pPr>
      <w:bookmarkStart w:id="829" w:name="_Toc8417"/>
      <w:bookmarkStart w:id="830" w:name="_Toc18420"/>
      <w:bookmarkStart w:id="831" w:name="_Toc959"/>
      <w:bookmarkStart w:id="832" w:name="_Toc18160"/>
      <w:r>
        <w:rPr>
          <w:rFonts w:hint="eastAsia" w:ascii="Times New Roman" w:hAnsi="Times New Roman" w:eastAsia="黑体" w:cs="Times New Roman"/>
          <w:color w:val="000000" w:themeColor="text1"/>
          <w:lang w:val="en-US" w:eastAsia="zh-CN"/>
          <w14:textFill>
            <w14:solidFill>
              <w14:schemeClr w14:val="tx1"/>
            </w14:solidFill>
          </w14:textFill>
        </w:rPr>
        <w:t>5.5.3 单元小结</w:t>
      </w:r>
      <w:bookmarkEnd w:id="829"/>
      <w:bookmarkEnd w:id="830"/>
      <w:bookmarkEnd w:id="831"/>
      <w:bookmarkEnd w:id="832"/>
    </w:p>
    <w:p w14:paraId="69704B5A">
      <w:pPr>
        <w:keepNext w:val="0"/>
        <w:keepLines w:val="0"/>
        <w:pageBreakBefore w:val="0"/>
        <w:widowControl w:val="0"/>
        <w:numPr>
          <w:ilvl w:val="0"/>
          <w:numId w:val="1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企业结合自身实际成立了安全</w:t>
      </w:r>
      <w:r>
        <w:rPr>
          <w:rFonts w:hint="eastAsia" w:ascii="宋体" w:hAnsi="宋体" w:eastAsia="宋体" w:cs="宋体"/>
          <w:color w:val="000000" w:themeColor="text1"/>
          <w:sz w:val="28"/>
          <w:szCs w:val="28"/>
          <w:lang w:eastAsia="zh-CN"/>
          <w14:textFill>
            <w14:solidFill>
              <w14:schemeClr w14:val="tx1"/>
            </w14:solidFill>
          </w14:textFill>
        </w:rPr>
        <w:t>生产</w:t>
      </w:r>
      <w:r>
        <w:rPr>
          <w:rFonts w:hint="eastAsia" w:ascii="宋体" w:hAnsi="宋体" w:eastAsia="宋体" w:cs="宋体"/>
          <w:color w:val="000000" w:themeColor="text1"/>
          <w:sz w:val="28"/>
          <w:szCs w:val="28"/>
          <w14:textFill>
            <w14:solidFill>
              <w14:schemeClr w14:val="tx1"/>
            </w14:solidFill>
          </w14:textFill>
        </w:rPr>
        <w:t>领导小组，并任命了专职安全管理人员，建立了全员安全生产责任制、安全管理规章制度、安全操作规程及安全</w:t>
      </w:r>
      <w:r>
        <w:rPr>
          <w:rFonts w:hint="eastAsia" w:ascii="宋体" w:hAnsi="宋体" w:eastAsia="宋体" w:cs="宋体"/>
          <w:color w:val="000000" w:themeColor="text1"/>
          <w:sz w:val="28"/>
          <w:szCs w:val="28"/>
          <w:lang w:eastAsia="zh-CN"/>
          <w14:textFill>
            <w14:solidFill>
              <w14:schemeClr w14:val="tx1"/>
            </w14:solidFill>
          </w14:textFill>
        </w:rPr>
        <w:t>管理台账</w:t>
      </w:r>
      <w:r>
        <w:rPr>
          <w:rFonts w:hint="eastAsia" w:ascii="宋体" w:hAnsi="宋体" w:eastAsia="宋体" w:cs="宋体"/>
          <w:color w:val="000000" w:themeColor="text1"/>
          <w:sz w:val="28"/>
          <w:szCs w:val="28"/>
          <w14:textFill>
            <w14:solidFill>
              <w14:schemeClr w14:val="tx1"/>
            </w14:solidFill>
          </w14:textFill>
        </w:rPr>
        <w:t>，为企业职工配发了劳动防护用品。</w:t>
      </w:r>
    </w:p>
    <w:p w14:paraId="18B3AF1D">
      <w:pPr>
        <w:keepNext w:val="0"/>
        <w:keepLines w:val="0"/>
        <w:pageBreakBefore w:val="0"/>
        <w:widowControl w:val="0"/>
        <w:numPr>
          <w:ilvl w:val="0"/>
          <w:numId w:val="1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企业按照应急预案的规定，</w:t>
      </w:r>
      <w:r>
        <w:rPr>
          <w:rFonts w:hint="eastAsia" w:ascii="宋体" w:hAnsi="宋体" w:eastAsia="宋体" w:cs="宋体"/>
          <w:color w:val="000000" w:themeColor="text1"/>
          <w:sz w:val="28"/>
          <w:szCs w:val="28"/>
          <w:lang w:val="en-US" w:eastAsia="zh-CN"/>
          <w14:textFill>
            <w14:solidFill>
              <w14:schemeClr w14:val="tx1"/>
            </w14:solidFill>
          </w14:textFill>
        </w:rPr>
        <w:t>编制了应急预案，</w:t>
      </w:r>
      <w:r>
        <w:rPr>
          <w:rFonts w:hint="eastAsia" w:ascii="宋体" w:hAnsi="宋体" w:eastAsia="宋体" w:cs="宋体"/>
          <w:color w:val="000000" w:themeColor="text1"/>
          <w:sz w:val="28"/>
          <w:szCs w:val="28"/>
          <w14:textFill>
            <w14:solidFill>
              <w14:schemeClr w14:val="tx1"/>
            </w14:solidFill>
          </w14:textFill>
        </w:rPr>
        <w:t>落实了应急指挥体系、应急救援队伍、应急物资及装备，应急物资、装备进行处于适用状态。</w:t>
      </w:r>
      <w:r>
        <w:rPr>
          <w:rFonts w:hint="eastAsia" w:ascii="宋体" w:hAnsi="宋体" w:eastAsia="宋体" w:cs="宋体"/>
          <w:color w:val="000000" w:themeColor="text1"/>
          <w:sz w:val="28"/>
          <w:szCs w:val="28"/>
          <w:lang w:val="en-US" w:eastAsia="zh-CN"/>
          <w14:textFill>
            <w14:solidFill>
              <w14:schemeClr w14:val="tx1"/>
            </w14:solidFill>
          </w14:textFill>
        </w:rPr>
        <w:t>企业预案已按要求到南华县应急管理局进行了备案。</w:t>
      </w:r>
    </w:p>
    <w:p w14:paraId="0D08969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根据评价分析，安全管理评价单元</w:t>
      </w:r>
      <w:r>
        <w:rPr>
          <w:rFonts w:hint="eastAsia" w:ascii="宋体" w:hAnsi="宋体" w:eastAsia="宋体" w:cs="宋体"/>
          <w:color w:val="000000" w:themeColor="text1"/>
          <w:sz w:val="28"/>
          <w:szCs w:val="28"/>
          <w14:textFill>
            <w14:solidFill>
              <w14:schemeClr w14:val="tx1"/>
            </w14:solidFill>
          </w14:textFill>
        </w:rPr>
        <w:t>符合</w:t>
      </w:r>
      <w:r>
        <w:rPr>
          <w:rFonts w:hint="eastAsia" w:ascii="宋体" w:hAnsi="宋体" w:eastAsia="宋体" w:cs="宋体"/>
          <w:color w:val="000000" w:themeColor="text1"/>
          <w:sz w:val="28"/>
          <w:szCs w:val="28"/>
          <w:lang w:val="en-US" w:eastAsia="zh-CN"/>
          <w14:textFill>
            <w14:solidFill>
              <w14:schemeClr w14:val="tx1"/>
            </w14:solidFill>
          </w14:textFill>
        </w:rPr>
        <w:t>相关法律规范的</w:t>
      </w:r>
      <w:r>
        <w:rPr>
          <w:rFonts w:hint="eastAsia" w:ascii="宋体" w:hAnsi="宋体" w:eastAsia="宋体" w:cs="宋体"/>
          <w:color w:val="000000" w:themeColor="text1"/>
          <w:sz w:val="28"/>
          <w:szCs w:val="28"/>
          <w14:textFill>
            <w14:solidFill>
              <w14:schemeClr w14:val="tx1"/>
            </w14:solidFill>
          </w14:textFill>
        </w:rPr>
        <w:t>要求。</w:t>
      </w:r>
    </w:p>
    <w:p w14:paraId="3D43C400">
      <w:pPr>
        <w:keepNext w:val="0"/>
        <w:keepLines w:val="0"/>
        <w:pageBreakBefore w:val="0"/>
        <w:widowControl w:val="0"/>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但存在以下问题：1.未组织应急演练活动。</w:t>
      </w:r>
    </w:p>
    <w:p w14:paraId="5CAC408E">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833" w:name="_Toc28589"/>
      <w:bookmarkStart w:id="834" w:name="_Toc19199"/>
      <w:r>
        <w:rPr>
          <w:rFonts w:hint="default" w:ascii="Times New Roman" w:hAnsi="Times New Roman" w:eastAsia="楷体" w:cs="Times New Roman"/>
          <w:color w:val="000000" w:themeColor="text1"/>
          <w14:textFill>
            <w14:solidFill>
              <w14:schemeClr w14:val="tx1"/>
            </w14:solidFill>
          </w14:textFill>
        </w:rPr>
        <w:t>5.6 重大事故隐患</w:t>
      </w:r>
      <w:r>
        <w:rPr>
          <w:rFonts w:hint="default" w:ascii="Times New Roman" w:hAnsi="Times New Roman" w:eastAsia="楷体" w:cs="Times New Roman"/>
          <w:color w:val="000000" w:themeColor="text1"/>
          <w:lang w:val="en-US" w:eastAsia="zh-CN"/>
          <w14:textFill>
            <w14:solidFill>
              <w14:schemeClr w14:val="tx1"/>
            </w14:solidFill>
          </w14:textFill>
        </w:rPr>
        <w:t>评价</w:t>
      </w:r>
      <w:r>
        <w:rPr>
          <w:rFonts w:hint="default" w:ascii="Times New Roman" w:hAnsi="Times New Roman" w:eastAsia="楷体" w:cs="Times New Roman"/>
          <w:color w:val="000000" w:themeColor="text1"/>
          <w14:textFill>
            <w14:solidFill>
              <w14:schemeClr w14:val="tx1"/>
            </w14:solidFill>
          </w14:textFill>
        </w:rPr>
        <w:t>单元</w:t>
      </w:r>
      <w:bookmarkEnd w:id="833"/>
      <w:bookmarkEnd w:id="834"/>
    </w:p>
    <w:p w14:paraId="0D8689E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该企业属于</w:t>
      </w:r>
      <w:r>
        <w:rPr>
          <w:rFonts w:hint="default" w:ascii="Times New Roman" w:hAnsi="Times New Roman" w:cs="Times New Roman"/>
          <w:color w:val="000000" w:themeColor="text1"/>
          <w:sz w:val="28"/>
          <w:szCs w:val="28"/>
          <w:lang w:eastAsia="zh-CN"/>
          <w14:textFill>
            <w14:solidFill>
              <w14:schemeClr w14:val="tx1"/>
            </w14:solidFill>
          </w14:textFill>
        </w:rPr>
        <w:t>建材</w:t>
      </w:r>
      <w:r>
        <w:rPr>
          <w:rFonts w:hint="default" w:ascii="Times New Roman" w:hAnsi="Times New Roman" w:cs="Times New Roman"/>
          <w:color w:val="000000" w:themeColor="text1"/>
          <w:sz w:val="28"/>
          <w:szCs w:val="28"/>
          <w14:textFill>
            <w14:solidFill>
              <w14:schemeClr w14:val="tx1"/>
            </w14:solidFill>
          </w14:textFill>
        </w:rPr>
        <w:t>行业，按《工贸企业重大事故隐患判定标准》（中华人民共和国应急管理部令</w:t>
      </w:r>
      <w:r>
        <w:rPr>
          <w:rFonts w:hint="default" w:ascii="Times New Roman" w:hAnsi="Times New Roman" w:eastAsia="宋体" w:cs="Times New Roman"/>
          <w:color w:val="000000" w:themeColor="text1"/>
          <w:sz w:val="28"/>
          <w:szCs w:val="28"/>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2023</w:t>
      </w:r>
      <w:r>
        <w:rPr>
          <w:rFonts w:hint="default" w:ascii="Times New Roman" w:hAnsi="Times New Roman" w:eastAsia="宋体"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 xml:space="preserve">第10号）的内容，对该项目在生产过程中，可能存在的重大生产安全事故隐患进行检查。具体检查情况如下： </w:t>
      </w:r>
    </w:p>
    <w:p w14:paraId="1E2A0BA6">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表5-1</w:t>
      </w:r>
      <w:r>
        <w:rPr>
          <w:rFonts w:hint="eastAsia"/>
          <w:b/>
          <w:bCs/>
          <w:color w:val="000000" w:themeColor="text1"/>
          <w:szCs w:val="21"/>
          <w:lang w:val="en-US" w:eastAsia="zh-CN"/>
          <w14:textFill>
            <w14:solidFill>
              <w14:schemeClr w14:val="tx1"/>
            </w14:solidFill>
          </w14:textFill>
        </w:rPr>
        <w:t>1</w:t>
      </w:r>
      <w:r>
        <w:rPr>
          <w:b/>
          <w:bCs/>
          <w:color w:val="000000" w:themeColor="text1"/>
          <w:szCs w:val="21"/>
          <w14:textFill>
            <w14:solidFill>
              <w14:schemeClr w14:val="tx1"/>
            </w14:solidFill>
          </w14:textFill>
        </w:rPr>
        <w:t>重大生产安全事故隐患检查表</w:t>
      </w:r>
    </w:p>
    <w:tbl>
      <w:tblPr>
        <w:tblStyle w:val="51"/>
        <w:tblW w:w="9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3995"/>
        <w:gridCol w:w="1789"/>
        <w:gridCol w:w="1950"/>
        <w:gridCol w:w="1150"/>
      </w:tblGrid>
      <w:tr w14:paraId="3A312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blHeader/>
          <w:jc w:val="center"/>
        </w:trPr>
        <w:tc>
          <w:tcPr>
            <w:tcW w:w="642" w:type="dxa"/>
            <w:vAlign w:val="center"/>
          </w:tcPr>
          <w:p w14:paraId="4E0D9627">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995" w:type="dxa"/>
            <w:vAlign w:val="center"/>
          </w:tcPr>
          <w:p w14:paraId="7A462E81">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条款内容</w:t>
            </w:r>
          </w:p>
        </w:tc>
        <w:tc>
          <w:tcPr>
            <w:tcW w:w="1789" w:type="dxa"/>
            <w:vAlign w:val="center"/>
          </w:tcPr>
          <w:p w14:paraId="717310FB">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检查依据</w:t>
            </w:r>
          </w:p>
        </w:tc>
        <w:tc>
          <w:tcPr>
            <w:tcW w:w="1950" w:type="dxa"/>
            <w:vAlign w:val="center"/>
          </w:tcPr>
          <w:p w14:paraId="665F72C7">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1150" w:type="dxa"/>
            <w:vAlign w:val="center"/>
          </w:tcPr>
          <w:p w14:paraId="76C33766">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是否构成重大隐患</w:t>
            </w:r>
          </w:p>
        </w:tc>
      </w:tr>
      <w:tr w14:paraId="0EC1E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0BD5AF2D">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3995" w:type="dxa"/>
            <w:vAlign w:val="center"/>
          </w:tcPr>
          <w:p w14:paraId="1FAE1409">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（一）未对承包单位、承租单位的安全生产工作统一协调、管理，或者未定期进行安全检查的；</w:t>
            </w:r>
          </w:p>
        </w:tc>
        <w:tc>
          <w:tcPr>
            <w:tcW w:w="1789" w:type="dxa"/>
            <w:vMerge w:val="restart"/>
            <w:vAlign w:val="center"/>
          </w:tcPr>
          <w:p w14:paraId="74436A11">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《工贸企业重大事故隐患判定标准》（中华人民共和国应急管理部令第10号）第三条</w:t>
            </w:r>
          </w:p>
        </w:tc>
        <w:tc>
          <w:tcPr>
            <w:tcW w:w="1950" w:type="dxa"/>
            <w:vAlign w:val="center"/>
          </w:tcPr>
          <w:p w14:paraId="59491558">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对外委检维修的安全生产工作统一协调、管理。</w:t>
            </w:r>
          </w:p>
        </w:tc>
        <w:tc>
          <w:tcPr>
            <w:tcW w:w="1150" w:type="dxa"/>
            <w:vAlign w:val="center"/>
          </w:tcPr>
          <w:p w14:paraId="63C4C4E2">
            <w:pPr>
              <w:pStyle w:val="354"/>
              <w:overflowPunct w:val="0"/>
              <w:snapToGrid w:val="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否</w:t>
            </w:r>
          </w:p>
        </w:tc>
      </w:tr>
      <w:tr w14:paraId="51972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40826E5A">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3995" w:type="dxa"/>
            <w:vAlign w:val="center"/>
          </w:tcPr>
          <w:p w14:paraId="66D05034">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（二）特种作业人员未按照规定经专门的安全作业培训并取得相应资格，上岗作业的；</w:t>
            </w:r>
          </w:p>
        </w:tc>
        <w:tc>
          <w:tcPr>
            <w:tcW w:w="1789" w:type="dxa"/>
            <w:vMerge w:val="continue"/>
            <w:vAlign w:val="center"/>
          </w:tcPr>
          <w:p w14:paraId="60A1CF1A">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3A930E15">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叉车工</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电工、焊工</w:t>
            </w:r>
            <w:r>
              <w:rPr>
                <w:rFonts w:hint="eastAsia" w:ascii="宋体" w:hAnsi="宋体" w:eastAsia="宋体" w:cs="宋体"/>
                <w:color w:val="000000" w:themeColor="text1"/>
                <w:sz w:val="21"/>
                <w:szCs w:val="21"/>
                <w14:textFill>
                  <w14:solidFill>
                    <w14:schemeClr w14:val="tx1"/>
                  </w14:solidFill>
                </w14:textFill>
              </w:rPr>
              <w:t>等特种作业人员按照规定持证上岗。</w:t>
            </w:r>
          </w:p>
        </w:tc>
        <w:tc>
          <w:tcPr>
            <w:tcW w:w="1150" w:type="dxa"/>
            <w:vAlign w:val="center"/>
          </w:tcPr>
          <w:p w14:paraId="36901C36">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否</w:t>
            </w:r>
          </w:p>
        </w:tc>
      </w:tr>
      <w:tr w14:paraId="102B2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2E183A41">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3995" w:type="dxa"/>
            <w:vAlign w:val="center"/>
          </w:tcPr>
          <w:p w14:paraId="727F9931">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（三）金属冶炼企业主要负责人、安全生产管理人员未按照规定经考核合格的。</w:t>
            </w:r>
          </w:p>
        </w:tc>
        <w:tc>
          <w:tcPr>
            <w:tcW w:w="1789" w:type="dxa"/>
            <w:vMerge w:val="continue"/>
            <w:vAlign w:val="center"/>
          </w:tcPr>
          <w:p w14:paraId="2424D4E1">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34077AC1">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该公司不属于金属冶炼企业</w:t>
            </w:r>
          </w:p>
        </w:tc>
        <w:tc>
          <w:tcPr>
            <w:tcW w:w="1150" w:type="dxa"/>
            <w:vAlign w:val="center"/>
          </w:tcPr>
          <w:p w14:paraId="1DFD0EBD">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否</w:t>
            </w:r>
          </w:p>
        </w:tc>
      </w:tr>
      <w:tr w14:paraId="678F5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63729EE6">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3995" w:type="dxa"/>
            <w:vAlign w:val="center"/>
          </w:tcPr>
          <w:p w14:paraId="3F46CA6D">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（一）煤磨袋式收尘器、煤粉仓未设置温度和固定式一氧化碳浓度监测报警装置，或者未设置气体灭火装置的；</w:t>
            </w:r>
          </w:p>
        </w:tc>
        <w:tc>
          <w:tcPr>
            <w:tcW w:w="1789" w:type="dxa"/>
            <w:vMerge w:val="restart"/>
            <w:vAlign w:val="center"/>
          </w:tcPr>
          <w:p w14:paraId="19D08E84">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《工贸企业重大事故隐患判定标准》（中华人民共和国应急管理部令第10号）第六条</w:t>
            </w:r>
          </w:p>
        </w:tc>
        <w:tc>
          <w:tcPr>
            <w:tcW w:w="1950" w:type="dxa"/>
            <w:vAlign w:val="center"/>
          </w:tcPr>
          <w:p w14:paraId="70F82C66">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vAlign w:val="center"/>
          </w:tcPr>
          <w:p w14:paraId="7BCC4C12">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4A6BF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01A40B91">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3995" w:type="dxa"/>
            <w:vAlign w:val="center"/>
          </w:tcPr>
          <w:p w14:paraId="0D5C5BFF">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（二）筒型储库人工清库作业未落实清库方案中防止高处坠落、坍塌等安全措施的；</w:t>
            </w:r>
          </w:p>
        </w:tc>
        <w:tc>
          <w:tcPr>
            <w:tcW w:w="1789" w:type="dxa"/>
            <w:vMerge w:val="continue"/>
            <w:vAlign w:val="center"/>
          </w:tcPr>
          <w:p w14:paraId="2B420075">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1E185E09">
            <w:pPr>
              <w:pStyle w:val="354"/>
              <w:overflowPunct w:val="0"/>
              <w:snapToGrid w:val="0"/>
              <w:ind w:firstLine="420" w:firstLineChars="200"/>
              <w:jc w:val="both"/>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不涉及</w:t>
            </w:r>
          </w:p>
        </w:tc>
        <w:tc>
          <w:tcPr>
            <w:tcW w:w="1150" w:type="dxa"/>
            <w:vAlign w:val="center"/>
          </w:tcPr>
          <w:p w14:paraId="27DC5314">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5165A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2A5FE3A9">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3995" w:type="dxa"/>
            <w:vAlign w:val="center"/>
          </w:tcPr>
          <w:p w14:paraId="3BADA0DD">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（三）水泥企业电石渣原料筒型储库未设置固定式可燃气体浓度监测报警装置，或者监测报警装置未与事故通风装置联锁的；</w:t>
            </w:r>
          </w:p>
        </w:tc>
        <w:tc>
          <w:tcPr>
            <w:tcW w:w="1789" w:type="dxa"/>
            <w:vMerge w:val="continue"/>
            <w:vAlign w:val="center"/>
          </w:tcPr>
          <w:p w14:paraId="0F01094B">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35CE2EE8">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vAlign w:val="center"/>
          </w:tcPr>
          <w:p w14:paraId="41EA37A6">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2D59F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44874DC3">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3995" w:type="dxa"/>
            <w:vAlign w:val="center"/>
          </w:tcPr>
          <w:p w14:paraId="15BF0B28">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进入筒型储库、焙烧窑、预热器旋风筒、分解炉、竖炉、篦冷机、磨机、破碎机前，未对可能意外启动的设备和涌入的物料、高温气体、有毒有害气体等采取隔离措施，或者未落实防止高处坠落、坍塌等安全措施的；</w:t>
            </w:r>
          </w:p>
        </w:tc>
        <w:tc>
          <w:tcPr>
            <w:tcW w:w="1789" w:type="dxa"/>
            <w:vMerge w:val="continue"/>
            <w:vAlign w:val="center"/>
          </w:tcPr>
          <w:p w14:paraId="5D1BC4C9">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0D594943">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进入</w:t>
            </w:r>
            <w:r>
              <w:rPr>
                <w:rFonts w:hint="eastAsia" w:cs="Times New Roman"/>
                <w:color w:val="000000" w:themeColor="text1"/>
                <w:sz w:val="21"/>
                <w:szCs w:val="21"/>
                <w:lang w:val="en-US" w:eastAsia="zh-CN"/>
                <w14:textFill>
                  <w14:solidFill>
                    <w14:schemeClr w14:val="tx1"/>
                  </w14:solidFill>
                </w14:textFill>
              </w:rPr>
              <w:t>隧道窑</w:t>
            </w:r>
            <w:r>
              <w:rPr>
                <w:rFonts w:hint="default" w:ascii="Times New Roman" w:hAnsi="Times New Roman" w:cs="Times New Roman"/>
                <w:color w:val="000000" w:themeColor="text1"/>
                <w:sz w:val="21"/>
                <w:szCs w:val="21"/>
                <w:lang w:val="en-US" w:eastAsia="zh-CN"/>
                <w14:textFill>
                  <w14:solidFill>
                    <w14:schemeClr w14:val="tx1"/>
                  </w14:solidFill>
                </w14:textFill>
              </w:rPr>
              <w:t>、破碎机前，对可能意外启动的设备和涌入的物料、高温气体、有毒有害气体等采取隔离措施，已落实防止高处坠落、坍塌等安全措施。</w:t>
            </w:r>
          </w:p>
        </w:tc>
        <w:tc>
          <w:tcPr>
            <w:tcW w:w="1150" w:type="dxa"/>
            <w:vAlign w:val="center"/>
          </w:tcPr>
          <w:p w14:paraId="355C3495">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否</w:t>
            </w:r>
          </w:p>
        </w:tc>
      </w:tr>
      <w:tr w14:paraId="65967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6F45B8BE">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p>
        </w:tc>
        <w:tc>
          <w:tcPr>
            <w:tcW w:w="3995" w:type="dxa"/>
            <w:vAlign w:val="center"/>
          </w:tcPr>
          <w:p w14:paraId="60CD4B28">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（五）采用预混燃烧方式的燃气窑炉（热发生炉煤气窑炉除外）的燃气总管未设置管道压力监测报警装置，或者监测报警装置未与紧急自动切断装置联锁的；</w:t>
            </w:r>
          </w:p>
        </w:tc>
        <w:tc>
          <w:tcPr>
            <w:tcW w:w="1789" w:type="dxa"/>
            <w:vMerge w:val="continue"/>
            <w:vAlign w:val="center"/>
          </w:tcPr>
          <w:p w14:paraId="3EC91A5E">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44056403">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vAlign w:val="center"/>
          </w:tcPr>
          <w:p w14:paraId="1DDA9518">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74228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57694304">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p>
        </w:tc>
        <w:tc>
          <w:tcPr>
            <w:tcW w:w="3995" w:type="dxa"/>
            <w:shd w:val="clear" w:color="auto" w:fill="auto"/>
            <w:vAlign w:val="center"/>
          </w:tcPr>
          <w:p w14:paraId="7C3CD035">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（六）制氢站、氮氢保护气体配气间、燃气配气间等3类场所未设置固定式可燃气体浓度监测报警装置的；</w:t>
            </w:r>
          </w:p>
        </w:tc>
        <w:tc>
          <w:tcPr>
            <w:tcW w:w="1789" w:type="dxa"/>
            <w:vMerge w:val="continue"/>
            <w:shd w:val="clear" w:color="auto" w:fill="auto"/>
            <w:vAlign w:val="center"/>
          </w:tcPr>
          <w:p w14:paraId="440C86B4">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shd w:val="clear" w:color="auto" w:fill="auto"/>
            <w:vAlign w:val="center"/>
          </w:tcPr>
          <w:p w14:paraId="2F986E33">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shd w:val="clear" w:color="auto" w:fill="auto"/>
            <w:vAlign w:val="center"/>
          </w:tcPr>
          <w:p w14:paraId="05C866F5">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00E2D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6B07463F">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p>
        </w:tc>
        <w:tc>
          <w:tcPr>
            <w:tcW w:w="3995" w:type="dxa"/>
            <w:shd w:val="clear" w:color="auto" w:fill="auto"/>
            <w:vAlign w:val="center"/>
          </w:tcPr>
          <w:p w14:paraId="111EDD4B">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（七）电熔制品电炉的水冷设备失效的；</w:t>
            </w:r>
          </w:p>
        </w:tc>
        <w:tc>
          <w:tcPr>
            <w:tcW w:w="1789" w:type="dxa"/>
            <w:vMerge w:val="continue"/>
            <w:shd w:val="clear" w:color="auto" w:fill="auto"/>
            <w:vAlign w:val="center"/>
          </w:tcPr>
          <w:p w14:paraId="681C4A34">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shd w:val="clear" w:color="auto" w:fill="auto"/>
            <w:vAlign w:val="center"/>
          </w:tcPr>
          <w:p w14:paraId="2057A36E">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shd w:val="clear" w:color="auto" w:fill="auto"/>
            <w:vAlign w:val="center"/>
          </w:tcPr>
          <w:p w14:paraId="5D257412">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7F286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1871F2EA">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p>
        </w:tc>
        <w:tc>
          <w:tcPr>
            <w:tcW w:w="3995" w:type="dxa"/>
            <w:shd w:val="clear" w:color="auto" w:fill="auto"/>
            <w:vAlign w:val="center"/>
          </w:tcPr>
          <w:p w14:paraId="6680C0B1">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（八）玻璃窑炉、玻璃锡槽等设备未设置水冷和风冷保护系统的监测报警装置的。</w:t>
            </w:r>
          </w:p>
        </w:tc>
        <w:tc>
          <w:tcPr>
            <w:tcW w:w="1789" w:type="dxa"/>
            <w:vMerge w:val="continue"/>
            <w:shd w:val="clear" w:color="auto" w:fill="auto"/>
            <w:vAlign w:val="center"/>
          </w:tcPr>
          <w:p w14:paraId="746D28CB">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shd w:val="clear" w:color="auto" w:fill="auto"/>
            <w:vAlign w:val="center"/>
          </w:tcPr>
          <w:p w14:paraId="1AC2D7DA">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shd w:val="clear" w:color="auto" w:fill="auto"/>
            <w:vAlign w:val="center"/>
          </w:tcPr>
          <w:p w14:paraId="3FDF9372">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53827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4B115B4F">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11</w:t>
            </w:r>
          </w:p>
        </w:tc>
        <w:tc>
          <w:tcPr>
            <w:tcW w:w="3995" w:type="dxa"/>
            <w:shd w:val="clear" w:color="auto" w:fill="auto"/>
            <w:vAlign w:val="center"/>
          </w:tcPr>
          <w:p w14:paraId="73E8C1C9">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未对有限空间进行辨识、建立安全管理台账，并且未设置明显的安全警示标志的；</w:t>
            </w:r>
          </w:p>
        </w:tc>
        <w:tc>
          <w:tcPr>
            <w:tcW w:w="1789" w:type="dxa"/>
            <w:vMerge w:val="restart"/>
            <w:shd w:val="clear" w:color="auto" w:fill="auto"/>
            <w:vAlign w:val="center"/>
          </w:tcPr>
          <w:p w14:paraId="435F1EED">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《工贸企业重大事故隐患判定标准》（中华人民共和国应急管理部令第10号）第十三条</w:t>
            </w:r>
          </w:p>
        </w:tc>
        <w:tc>
          <w:tcPr>
            <w:tcW w:w="1950" w:type="dxa"/>
            <w:shd w:val="clear" w:color="auto" w:fill="auto"/>
            <w:vAlign w:val="center"/>
          </w:tcPr>
          <w:p w14:paraId="33323AF2">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该公司已对有限空间作业场所进行辨识，并设置明显安全警示标志。</w:t>
            </w:r>
          </w:p>
        </w:tc>
        <w:tc>
          <w:tcPr>
            <w:tcW w:w="1150" w:type="dxa"/>
            <w:shd w:val="clear" w:color="auto" w:fill="auto"/>
            <w:vAlign w:val="center"/>
          </w:tcPr>
          <w:p w14:paraId="290C2F61">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否</w:t>
            </w:r>
          </w:p>
        </w:tc>
      </w:tr>
      <w:tr w14:paraId="4F062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4E4676F5">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12</w:t>
            </w:r>
          </w:p>
        </w:tc>
        <w:tc>
          <w:tcPr>
            <w:tcW w:w="3995" w:type="dxa"/>
            <w:shd w:val="clear" w:color="auto" w:fill="auto"/>
            <w:vAlign w:val="center"/>
          </w:tcPr>
          <w:p w14:paraId="004E615C">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未落实有限空间作业审批，或者未执行“先通风、再检测、后作业”要求，或者作业现场未设置监护人员的。</w:t>
            </w:r>
          </w:p>
        </w:tc>
        <w:tc>
          <w:tcPr>
            <w:tcW w:w="1789" w:type="dxa"/>
            <w:vMerge w:val="continue"/>
            <w:shd w:val="clear" w:color="auto" w:fill="auto"/>
            <w:vAlign w:val="center"/>
          </w:tcPr>
          <w:p w14:paraId="59F9BD6B">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shd w:val="clear" w:color="auto" w:fill="auto"/>
            <w:vAlign w:val="center"/>
          </w:tcPr>
          <w:p w14:paraId="5CE49826">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该公司已制定并落实作业审批制度，严禁擅自进入有限空间作业。</w:t>
            </w:r>
          </w:p>
        </w:tc>
        <w:tc>
          <w:tcPr>
            <w:tcW w:w="1150" w:type="dxa"/>
            <w:shd w:val="clear" w:color="auto" w:fill="auto"/>
            <w:vAlign w:val="center"/>
          </w:tcPr>
          <w:p w14:paraId="48ADCFB5">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否</w:t>
            </w:r>
          </w:p>
        </w:tc>
      </w:tr>
      <w:tr w14:paraId="63ECE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3B1792D2">
            <w:pPr>
              <w:pStyle w:val="354"/>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13</w:t>
            </w:r>
          </w:p>
        </w:tc>
        <w:tc>
          <w:tcPr>
            <w:tcW w:w="3995" w:type="dxa"/>
            <w:shd w:val="clear" w:color="auto" w:fill="auto"/>
            <w:vAlign w:val="center"/>
          </w:tcPr>
          <w:p w14:paraId="12686679">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本标准所列情形中直接关系生产安全的监控、报警、防护等设施、设备、装置，应当保证正常运行、使用，失效或者无效均判定为重大事故隐患。</w:t>
            </w:r>
          </w:p>
        </w:tc>
        <w:tc>
          <w:tcPr>
            <w:tcW w:w="1789" w:type="dxa"/>
            <w:shd w:val="clear" w:color="auto" w:fill="auto"/>
            <w:vAlign w:val="center"/>
          </w:tcPr>
          <w:p w14:paraId="4A2FDDD0">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《工贸企业重大事故隐患判定标准》（中华人民共和国应急管理部令第10号）第十四条</w:t>
            </w:r>
          </w:p>
        </w:tc>
        <w:tc>
          <w:tcPr>
            <w:tcW w:w="1950" w:type="dxa"/>
            <w:shd w:val="clear" w:color="auto" w:fill="auto"/>
            <w:vAlign w:val="center"/>
          </w:tcPr>
          <w:p w14:paraId="295D54B2">
            <w:pPr>
              <w:pStyle w:val="354"/>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根据现场勘查，该公司防护等设施、设备、装置均能正常运行、使用。</w:t>
            </w:r>
          </w:p>
        </w:tc>
        <w:tc>
          <w:tcPr>
            <w:tcW w:w="1150" w:type="dxa"/>
            <w:shd w:val="clear" w:color="auto" w:fill="auto"/>
            <w:vAlign w:val="center"/>
          </w:tcPr>
          <w:p w14:paraId="7C870C39">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否</w:t>
            </w:r>
          </w:p>
        </w:tc>
      </w:tr>
    </w:tbl>
    <w:p w14:paraId="122F8CB9">
      <w:pPr>
        <w:pStyle w:val="49"/>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根据《工贸企业重大事故隐患判定标准》（中华人民共和国应急管理部令第10号）判定，牟定乾泰建材有限公司年产9000万块页岩多孔空心砖生产线技术改造项目未构成重大事故隐患。</w:t>
      </w:r>
    </w:p>
    <w:p w14:paraId="636E970D">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835" w:name="_Toc6408"/>
      <w:bookmarkStart w:id="836" w:name="_Toc1369"/>
      <w:r>
        <w:rPr>
          <w:rFonts w:hint="default" w:ascii="Times New Roman" w:hAnsi="Times New Roman" w:eastAsia="楷体" w:cs="Times New Roman"/>
          <w:color w:val="000000" w:themeColor="text1"/>
          <w14:textFill>
            <w14:solidFill>
              <w14:schemeClr w14:val="tx1"/>
            </w14:solidFill>
          </w14:textFill>
        </w:rPr>
        <w:t>5.7</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有限空间作业评价单元</w:t>
      </w:r>
      <w:bookmarkEnd w:id="835"/>
      <w:bookmarkEnd w:id="836"/>
    </w:p>
    <w:p w14:paraId="23E1FD9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该企业属于</w:t>
      </w:r>
      <w:r>
        <w:rPr>
          <w:rFonts w:hint="eastAsia" w:ascii="宋体" w:hAnsi="宋体" w:eastAsia="宋体" w:cs="宋体"/>
          <w:color w:val="000000" w:themeColor="text1"/>
          <w:sz w:val="28"/>
          <w:szCs w:val="28"/>
          <w:lang w:eastAsia="zh-CN"/>
          <w14:textFill>
            <w14:solidFill>
              <w14:schemeClr w14:val="tx1"/>
            </w14:solidFill>
          </w14:textFill>
        </w:rPr>
        <w:t>建材</w:t>
      </w:r>
      <w:r>
        <w:rPr>
          <w:rFonts w:hint="eastAsia" w:ascii="宋体" w:hAnsi="宋体" w:eastAsia="宋体" w:cs="宋体"/>
          <w:color w:val="000000" w:themeColor="text1"/>
          <w:sz w:val="28"/>
          <w:szCs w:val="28"/>
          <w14:textFill>
            <w14:solidFill>
              <w14:schemeClr w14:val="tx1"/>
            </w14:solidFill>
          </w14:textFill>
        </w:rPr>
        <w:t>行业，按《工贸企业重大事故隐患判定标准》（应急管理部〔2023〕</w:t>
      </w: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0号令）、</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工贸企业有限空间作业安全规定</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（2023年11月29日应急管理部令第13号公布，自2024年1月1日起施行）的内容，对该项目在生产过程中，可能存在的有限空间作业进行检查。具体检查情况如下：</w:t>
      </w:r>
    </w:p>
    <w:p w14:paraId="3D38A4EF">
      <w:pPr>
        <w:keepNext w:val="0"/>
        <w:keepLines w:val="0"/>
        <w:pageBreakBefore w:val="0"/>
        <w:widowControl/>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szCs w:val="24"/>
          <w14:textFill>
            <w14:solidFill>
              <w14:schemeClr w14:val="tx1"/>
            </w14:solidFill>
          </w14:textFill>
        </w:rPr>
        <w:t>表5-</w:t>
      </w:r>
      <w:r>
        <w:rPr>
          <w:rFonts w:hint="eastAsia" w:ascii="Times New Roman" w:cs="Times New Roman"/>
          <w:b/>
          <w:bCs/>
          <w:color w:val="000000" w:themeColor="text1"/>
          <w:szCs w:val="24"/>
          <w:lang w:val="en-US" w:eastAsia="zh-CN"/>
          <w14:textFill>
            <w14:solidFill>
              <w14:schemeClr w14:val="tx1"/>
            </w14:solidFill>
          </w14:textFill>
        </w:rPr>
        <w:t>12</w:t>
      </w:r>
      <w:r>
        <w:rPr>
          <w:rFonts w:hint="default" w:ascii="Times New Roman" w:hAnsi="Times New Roman" w:eastAsia="宋体" w:cs="Times New Roman"/>
          <w:b/>
          <w:bCs/>
          <w:color w:val="000000" w:themeColor="text1"/>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Cs w:val="24"/>
          <w14:textFill>
            <w14:solidFill>
              <w14:schemeClr w14:val="tx1"/>
            </w14:solidFill>
          </w14:textFill>
        </w:rPr>
        <w:t>有限空间作业单元安全检查表</w:t>
      </w:r>
    </w:p>
    <w:tbl>
      <w:tblPr>
        <w:tblStyle w:val="51"/>
        <w:tblW w:w="9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3110"/>
        <w:gridCol w:w="2352"/>
        <w:gridCol w:w="2111"/>
        <w:gridCol w:w="771"/>
      </w:tblGrid>
      <w:tr w14:paraId="14268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17BEDE0B">
            <w:pPr>
              <w:snapToGrid w:val="0"/>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序号</w:t>
            </w:r>
          </w:p>
        </w:tc>
        <w:tc>
          <w:tcPr>
            <w:tcW w:w="3110" w:type="dxa"/>
            <w:vAlign w:val="center"/>
          </w:tcPr>
          <w:p w14:paraId="6A6094D0">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检查内容</w:t>
            </w:r>
          </w:p>
        </w:tc>
        <w:tc>
          <w:tcPr>
            <w:tcW w:w="2352" w:type="dxa"/>
            <w:vAlign w:val="center"/>
          </w:tcPr>
          <w:p w14:paraId="2C2A8A05">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依据标准</w:t>
            </w:r>
          </w:p>
        </w:tc>
        <w:tc>
          <w:tcPr>
            <w:tcW w:w="2111" w:type="dxa"/>
            <w:vAlign w:val="center"/>
          </w:tcPr>
          <w:p w14:paraId="7677C4AD">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检查情况</w:t>
            </w:r>
          </w:p>
        </w:tc>
        <w:tc>
          <w:tcPr>
            <w:tcW w:w="771" w:type="dxa"/>
            <w:vAlign w:val="center"/>
          </w:tcPr>
          <w:p w14:paraId="4BF64E27">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结论</w:t>
            </w:r>
          </w:p>
        </w:tc>
      </w:tr>
      <w:tr w14:paraId="3BD42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7CF67A3F">
            <w:pPr>
              <w:snapToGrid w:val="0"/>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1</w:t>
            </w:r>
          </w:p>
        </w:tc>
        <w:tc>
          <w:tcPr>
            <w:tcW w:w="3110" w:type="dxa"/>
            <w:vAlign w:val="center"/>
          </w:tcPr>
          <w:p w14:paraId="20C25740">
            <w:pPr>
              <w:widowControl/>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未对有限空间作业场所进行辨识，并设置明显安全警示标志。</w:t>
            </w:r>
          </w:p>
        </w:tc>
        <w:tc>
          <w:tcPr>
            <w:tcW w:w="2352" w:type="dxa"/>
            <w:vAlign w:val="center"/>
          </w:tcPr>
          <w:p w14:paraId="476FBE7E">
            <w:pPr>
              <w:suppressAutoHyphens/>
              <w:snapToGrid w:val="0"/>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《工贸企业重大事故隐患判定标准》（应急管理部〔2023〕10号令）</w:t>
            </w:r>
          </w:p>
        </w:tc>
        <w:tc>
          <w:tcPr>
            <w:tcW w:w="2111" w:type="dxa"/>
            <w:vAlign w:val="center"/>
          </w:tcPr>
          <w:p w14:paraId="6BC333B6">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有限空间作业场所已进行辨识，并设置明显安全警示标志</w:t>
            </w:r>
          </w:p>
        </w:tc>
        <w:tc>
          <w:tcPr>
            <w:tcW w:w="771" w:type="dxa"/>
            <w:vAlign w:val="center"/>
          </w:tcPr>
          <w:p w14:paraId="646BCEF0">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符合</w:t>
            </w:r>
          </w:p>
        </w:tc>
      </w:tr>
      <w:tr w14:paraId="005F9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487096F2">
            <w:pPr>
              <w:snapToGrid w:val="0"/>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2</w:t>
            </w:r>
          </w:p>
        </w:tc>
        <w:tc>
          <w:tcPr>
            <w:tcW w:w="3110" w:type="dxa"/>
            <w:vAlign w:val="center"/>
          </w:tcPr>
          <w:p w14:paraId="23AB3CF7">
            <w:pPr>
              <w:widowControl/>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未落实作业审批制度，擅自进入有限空间作业。</w:t>
            </w:r>
          </w:p>
          <w:p w14:paraId="50A4A702">
            <w:pPr>
              <w:pStyle w:val="68"/>
              <w:ind w:firstLine="420" w:firstLineChars="200"/>
              <w:jc w:val="center"/>
              <w:rPr>
                <w:rFonts w:hint="eastAsia" w:ascii="宋体" w:hAnsi="宋体" w:eastAsia="宋体" w:cs="宋体"/>
                <w:b w:val="0"/>
                <w:bCs w:val="0"/>
                <w:snapToGrid w:val="0"/>
                <w:color w:val="000000" w:themeColor="text1"/>
                <w:sz w:val="21"/>
                <w:szCs w:val="21"/>
                <w14:textFill>
                  <w14:solidFill>
                    <w14:schemeClr w14:val="tx1"/>
                  </w14:solidFill>
                </w14:textFill>
              </w:rPr>
            </w:pPr>
          </w:p>
        </w:tc>
        <w:tc>
          <w:tcPr>
            <w:tcW w:w="2352" w:type="dxa"/>
            <w:vAlign w:val="center"/>
          </w:tcPr>
          <w:p w14:paraId="5BCB4F5E">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《工贸企业重大事故隐患判定标准》（应急管理部〔2023〕10号令）</w:t>
            </w:r>
          </w:p>
        </w:tc>
        <w:tc>
          <w:tcPr>
            <w:tcW w:w="2111" w:type="dxa"/>
            <w:vAlign w:val="center"/>
          </w:tcPr>
          <w:p w14:paraId="0A05FBB6">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已设置作业审批制度</w:t>
            </w:r>
          </w:p>
        </w:tc>
        <w:tc>
          <w:tcPr>
            <w:tcW w:w="771" w:type="dxa"/>
            <w:vAlign w:val="center"/>
          </w:tcPr>
          <w:p w14:paraId="0450EF13">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符合</w:t>
            </w:r>
          </w:p>
        </w:tc>
      </w:tr>
      <w:tr w14:paraId="7D5F4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39988DCB">
            <w:pPr>
              <w:snapToGrid w:val="0"/>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3</w:t>
            </w:r>
          </w:p>
        </w:tc>
        <w:tc>
          <w:tcPr>
            <w:tcW w:w="3110" w:type="dxa"/>
            <w:vAlign w:val="center"/>
          </w:tcPr>
          <w:p w14:paraId="5951374E">
            <w:pPr>
              <w:pStyle w:val="68"/>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未对有限空间作业进行辨识、提出防范措施，并建立有限空间管理台账。</w:t>
            </w:r>
          </w:p>
        </w:tc>
        <w:tc>
          <w:tcPr>
            <w:tcW w:w="2352" w:type="dxa"/>
            <w:vAlign w:val="center"/>
          </w:tcPr>
          <w:p w14:paraId="4D1CACDE">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《工贸企业重大事故隐患判定标准》（应急管理部〔2023〕10号令）</w:t>
            </w:r>
          </w:p>
          <w:p w14:paraId="216DDF37">
            <w:pPr>
              <w:pStyle w:val="33"/>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《工贸企业有限空间作业安全规定》（应急管理部〔2023〕13号令）第六条</w:t>
            </w:r>
          </w:p>
        </w:tc>
        <w:tc>
          <w:tcPr>
            <w:tcW w:w="2111" w:type="dxa"/>
            <w:vAlign w:val="center"/>
          </w:tcPr>
          <w:p w14:paraId="0E8B44F5">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已对有限空间作业进行辨识、提出防范措施，并建立有限空间管理台账。</w:t>
            </w:r>
          </w:p>
        </w:tc>
        <w:tc>
          <w:tcPr>
            <w:tcW w:w="771" w:type="dxa"/>
            <w:vAlign w:val="center"/>
          </w:tcPr>
          <w:p w14:paraId="4D70891C">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符合</w:t>
            </w:r>
          </w:p>
        </w:tc>
      </w:tr>
      <w:tr w14:paraId="59F5F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2334C44B">
            <w:pPr>
              <w:snapToGrid w:val="0"/>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4</w:t>
            </w:r>
          </w:p>
        </w:tc>
        <w:tc>
          <w:tcPr>
            <w:tcW w:w="3110" w:type="dxa"/>
            <w:vAlign w:val="center"/>
          </w:tcPr>
          <w:p w14:paraId="5F4B1400">
            <w:pPr>
              <w:widowControl/>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工贸企业主要负责人是有限空间作业安全第一责任人，应当组织制定有限空间作业安全管理制度，明确有限空间作业审批人、监护人员、作业人员的职责，以及安全培训、作业审批、防护用品、应急救援装备、操作规程和应急处置等方面的要求。</w:t>
            </w:r>
          </w:p>
        </w:tc>
        <w:tc>
          <w:tcPr>
            <w:tcW w:w="2352" w:type="dxa"/>
            <w:vAlign w:val="center"/>
          </w:tcPr>
          <w:p w14:paraId="497C1CA5">
            <w:pPr>
              <w:keepNext w:val="0"/>
              <w:keepLines w:val="0"/>
              <w:pageBreakBefore w:val="0"/>
              <w:widowControl w:val="0"/>
              <w:suppressAutoHyphens/>
              <w:kinsoku/>
              <w:wordWrap/>
              <w:overflowPunct/>
              <w:topLinePunct w:val="0"/>
              <w:autoSpaceDE/>
              <w:autoSpaceDN/>
              <w:bidi w:val="0"/>
              <w:adjustRightInd/>
              <w:snapToGrid w:val="0"/>
              <w:jc w:val="both"/>
              <w:textAlignment w:val="auto"/>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《工贸企业有限空间作业安全规定》（应急管理部〔2023〕13号令）第四条</w:t>
            </w:r>
          </w:p>
        </w:tc>
        <w:tc>
          <w:tcPr>
            <w:tcW w:w="2111" w:type="dxa"/>
            <w:vAlign w:val="center"/>
          </w:tcPr>
          <w:p w14:paraId="1D782468">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已</w:t>
            </w:r>
            <w:r>
              <w:rPr>
                <w:rFonts w:hint="eastAsia" w:ascii="宋体" w:hAnsi="宋体" w:eastAsia="宋体" w:cs="宋体"/>
                <w:b w:val="0"/>
                <w:bCs w:val="0"/>
                <w:snapToGrid w:val="0"/>
                <w:color w:val="000000" w:themeColor="text1"/>
                <w:sz w:val="21"/>
                <w:szCs w:val="21"/>
                <w14:textFill>
                  <w14:solidFill>
                    <w14:schemeClr w14:val="tx1"/>
                  </w14:solidFill>
                </w14:textFill>
              </w:rPr>
              <w:t>制定</w:t>
            </w: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了</w:t>
            </w:r>
            <w:r>
              <w:rPr>
                <w:rFonts w:hint="eastAsia" w:ascii="宋体" w:hAnsi="宋体" w:eastAsia="宋体" w:cs="宋体"/>
                <w:b w:val="0"/>
                <w:bCs w:val="0"/>
                <w:snapToGrid w:val="0"/>
                <w:color w:val="000000" w:themeColor="text1"/>
                <w:sz w:val="21"/>
                <w:szCs w:val="21"/>
                <w14:textFill>
                  <w14:solidFill>
                    <w14:schemeClr w14:val="tx1"/>
                  </w14:solidFill>
                </w14:textFill>
              </w:rPr>
              <w:t>有限空间作业安全管理制度、操作规程和应急处置</w:t>
            </w: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方案</w:t>
            </w:r>
            <w:r>
              <w:rPr>
                <w:rFonts w:hint="eastAsia" w:ascii="宋体" w:hAnsi="宋体" w:eastAsia="宋体" w:cs="宋体"/>
                <w:b w:val="0"/>
                <w:bCs w:val="0"/>
                <w:snapToGrid w:val="0"/>
                <w:color w:val="000000" w:themeColor="text1"/>
                <w:sz w:val="21"/>
                <w:szCs w:val="21"/>
                <w14:textFill>
                  <w14:solidFill>
                    <w14:schemeClr w14:val="tx1"/>
                  </w14:solidFill>
                </w14:textFill>
              </w:rPr>
              <w:t>等。</w:t>
            </w:r>
          </w:p>
        </w:tc>
        <w:tc>
          <w:tcPr>
            <w:tcW w:w="771" w:type="dxa"/>
            <w:vAlign w:val="center"/>
          </w:tcPr>
          <w:p w14:paraId="19C9679B">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符合</w:t>
            </w:r>
          </w:p>
        </w:tc>
      </w:tr>
      <w:tr w14:paraId="6C3F3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457B3D33">
            <w:pPr>
              <w:snapToGrid w:val="0"/>
              <w:jc w:val="center"/>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5</w:t>
            </w:r>
          </w:p>
        </w:tc>
        <w:tc>
          <w:tcPr>
            <w:tcW w:w="3110" w:type="dxa"/>
            <w:vAlign w:val="center"/>
          </w:tcPr>
          <w:p w14:paraId="4CCD29B6">
            <w:pPr>
              <w:widowControl/>
              <w:jc w:val="left"/>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对于存在硫化氢、一氧化碳、二氧化碳等中毒和窒息等风险的有限空间作业，应当由工贸企业主要负责人或者其书面委托的人员进行审批，委托进行审批的，相关责任仍由工贸企业主要负责人承担。未经工贸企业确定的作业审批人批准，不得实施有限空间作业。</w:t>
            </w:r>
          </w:p>
        </w:tc>
        <w:tc>
          <w:tcPr>
            <w:tcW w:w="2352" w:type="dxa"/>
            <w:vAlign w:val="center"/>
          </w:tcPr>
          <w:p w14:paraId="38415D26">
            <w:pPr>
              <w:suppressAutoHyphens/>
              <w:snapToGrid w:val="0"/>
              <w:jc w:val="both"/>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《工贸企业有限空间作业安全规定》（应急管理部〔2023〕13号令）第七条</w:t>
            </w:r>
          </w:p>
        </w:tc>
        <w:tc>
          <w:tcPr>
            <w:tcW w:w="2111" w:type="dxa"/>
            <w:vAlign w:val="center"/>
          </w:tcPr>
          <w:p w14:paraId="43091F41">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已</w:t>
            </w:r>
            <w:r>
              <w:rPr>
                <w:rFonts w:hint="eastAsia" w:ascii="宋体" w:hAnsi="宋体" w:eastAsia="宋体" w:cs="宋体"/>
                <w:b w:val="0"/>
                <w:bCs w:val="0"/>
                <w:snapToGrid w:val="0"/>
                <w:color w:val="000000" w:themeColor="text1"/>
                <w:sz w:val="21"/>
                <w:szCs w:val="21"/>
                <w14:textFill>
                  <w14:solidFill>
                    <w14:schemeClr w14:val="tx1"/>
                  </w14:solidFill>
                </w14:textFill>
              </w:rPr>
              <w:t>制定</w:t>
            </w: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了</w:t>
            </w:r>
            <w:r>
              <w:rPr>
                <w:rFonts w:hint="eastAsia" w:ascii="宋体" w:hAnsi="宋体" w:eastAsia="宋体" w:cs="宋体"/>
                <w:b w:val="0"/>
                <w:bCs w:val="0"/>
                <w:snapToGrid w:val="0"/>
                <w:color w:val="000000" w:themeColor="text1"/>
                <w:sz w:val="21"/>
                <w:szCs w:val="21"/>
                <w14:textFill>
                  <w14:solidFill>
                    <w14:schemeClr w14:val="tx1"/>
                  </w14:solidFill>
                </w14:textFill>
              </w:rPr>
              <w:t>有限空间作业安全管理制度</w:t>
            </w: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，作业时严格按制度执行</w:t>
            </w:r>
            <w:r>
              <w:rPr>
                <w:rFonts w:hint="eastAsia" w:ascii="宋体" w:hAnsi="宋体" w:eastAsia="宋体" w:cs="宋体"/>
                <w:b w:val="0"/>
                <w:bCs w:val="0"/>
                <w:snapToGrid w:val="0"/>
                <w:color w:val="000000" w:themeColor="text1"/>
                <w:sz w:val="21"/>
                <w:szCs w:val="21"/>
                <w14:textFill>
                  <w14:solidFill>
                    <w14:schemeClr w14:val="tx1"/>
                  </w14:solidFill>
                </w14:textFill>
              </w:rPr>
              <w:t>。</w:t>
            </w:r>
          </w:p>
        </w:tc>
        <w:tc>
          <w:tcPr>
            <w:tcW w:w="771" w:type="dxa"/>
            <w:vAlign w:val="center"/>
          </w:tcPr>
          <w:p w14:paraId="196AC813">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符合</w:t>
            </w:r>
          </w:p>
        </w:tc>
      </w:tr>
      <w:tr w14:paraId="60809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58596F6A">
            <w:pPr>
              <w:snapToGrid w:val="0"/>
              <w:jc w:val="center"/>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6</w:t>
            </w:r>
          </w:p>
        </w:tc>
        <w:tc>
          <w:tcPr>
            <w:tcW w:w="3110" w:type="dxa"/>
            <w:vAlign w:val="center"/>
          </w:tcPr>
          <w:p w14:paraId="3D142122">
            <w:pPr>
              <w:widowControl/>
              <w:jc w:val="left"/>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工贸企业将有限空间作业依法发包给其他单位实施的，应当与承包单位在合同或者协议中约定各自的安全生产管理职责。工贸企业对其发包的有限空间作业统一协调、管理，并对现场作业进行安全检查，督促承包单位有效落实各项安全措施。</w:t>
            </w:r>
          </w:p>
        </w:tc>
        <w:tc>
          <w:tcPr>
            <w:tcW w:w="2352" w:type="dxa"/>
            <w:vAlign w:val="center"/>
          </w:tcPr>
          <w:p w14:paraId="4860B45A">
            <w:pPr>
              <w:suppressAutoHyphens/>
              <w:snapToGrid w:val="0"/>
              <w:jc w:val="both"/>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《工贸企业有限空间作业安全规定》（应急管理部〔2023〕13号令）第八条</w:t>
            </w:r>
          </w:p>
        </w:tc>
        <w:tc>
          <w:tcPr>
            <w:tcW w:w="2111" w:type="dxa"/>
            <w:vAlign w:val="center"/>
          </w:tcPr>
          <w:p w14:paraId="43BD5667">
            <w:pPr>
              <w:suppressAutoHyphens/>
              <w:snapToGrid w:val="0"/>
              <w:jc w:val="both"/>
              <w:rPr>
                <w:rFonts w:hint="eastAsia" w:ascii="宋体" w:hAnsi="宋体" w:eastAsia="宋体" w:cs="宋体"/>
                <w:b w:val="0"/>
                <w:bCs w:val="0"/>
                <w:snapToGrid w:val="0"/>
                <w:color w:val="000000" w:themeColor="text1"/>
                <w:sz w:val="21"/>
                <w:szCs w:val="21"/>
                <w:lang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不涉及发包给其他单位实施</w:t>
            </w:r>
          </w:p>
        </w:tc>
        <w:tc>
          <w:tcPr>
            <w:tcW w:w="771" w:type="dxa"/>
            <w:vAlign w:val="center"/>
          </w:tcPr>
          <w:p w14:paraId="7E4BD915">
            <w:pPr>
              <w:suppressAutoHyphens/>
              <w:snapToGrid w:val="0"/>
              <w:jc w:val="center"/>
              <w:rPr>
                <w:rFonts w:hint="eastAsia" w:ascii="宋体" w:hAnsi="宋体" w:eastAsia="宋体" w:cs="宋体"/>
                <w:b w:val="0"/>
                <w:bCs w:val="0"/>
                <w:snapToGrid w:val="0"/>
                <w:color w:val="000000" w:themeColor="text1"/>
                <w:sz w:val="21"/>
                <w:szCs w:val="21"/>
                <w:lang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不涉及</w:t>
            </w:r>
          </w:p>
        </w:tc>
      </w:tr>
      <w:tr w14:paraId="65FCD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10AC3205">
            <w:pPr>
              <w:snapToGrid w:val="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7</w:t>
            </w:r>
          </w:p>
        </w:tc>
        <w:tc>
          <w:tcPr>
            <w:tcW w:w="3110" w:type="dxa"/>
            <w:vAlign w:val="center"/>
          </w:tcPr>
          <w:p w14:paraId="6710BFBA">
            <w:pPr>
              <w:widowControl/>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工贸企业应当每年至少组织一次有限空间作业专题安全培训，对作业审批人、监护人员、作业人员和应急救援人员培训有限空间作业安全知识和技能，并如实记录。</w:t>
            </w:r>
          </w:p>
        </w:tc>
        <w:tc>
          <w:tcPr>
            <w:tcW w:w="2352" w:type="dxa"/>
            <w:vAlign w:val="center"/>
          </w:tcPr>
          <w:p w14:paraId="05B2F649">
            <w:pPr>
              <w:suppressAutoHyphens/>
              <w:snapToGrid w:val="0"/>
              <w:jc w:val="both"/>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《工贸企业有限空间作业安全规定》（应急管理部〔2023〕13号令）第九条</w:t>
            </w:r>
          </w:p>
        </w:tc>
        <w:tc>
          <w:tcPr>
            <w:tcW w:w="2111" w:type="dxa"/>
            <w:vAlign w:val="center"/>
          </w:tcPr>
          <w:p w14:paraId="67FBCFB3">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eastAsia="zh-CN"/>
                <w14:textFill>
                  <w14:solidFill>
                    <w14:schemeClr w14:val="tx1"/>
                  </w14:solidFill>
                </w14:textFill>
              </w:rPr>
              <w:t>结合安全教育培训一并开展</w:t>
            </w:r>
            <w:r>
              <w:rPr>
                <w:rFonts w:hint="eastAsia" w:ascii="宋体" w:hAnsi="宋体" w:eastAsia="宋体" w:cs="宋体"/>
                <w:b w:val="0"/>
                <w:bCs w:val="0"/>
                <w:color w:val="000000" w:themeColor="text1"/>
                <w:sz w:val="21"/>
                <w:szCs w:val="21"/>
                <w14:textFill>
                  <w14:solidFill>
                    <w14:schemeClr w14:val="tx1"/>
                  </w14:solidFill>
                </w14:textFill>
              </w:rPr>
              <w:t>。</w:t>
            </w:r>
          </w:p>
        </w:tc>
        <w:tc>
          <w:tcPr>
            <w:tcW w:w="771" w:type="dxa"/>
            <w:vAlign w:val="center"/>
          </w:tcPr>
          <w:p w14:paraId="0816BF5F">
            <w:pPr>
              <w:suppressAutoHyphens/>
              <w:snapToGrid w:val="0"/>
              <w:jc w:val="center"/>
              <w:rPr>
                <w:rFonts w:hint="eastAsia" w:ascii="宋体" w:hAnsi="宋体" w:eastAsia="宋体" w:cs="宋体"/>
                <w:b w:val="0"/>
                <w:bCs w:val="0"/>
                <w:snapToGrid w:val="0"/>
                <w:color w:val="000000" w:themeColor="text1"/>
                <w:sz w:val="21"/>
                <w:szCs w:val="21"/>
                <w:lang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符合</w:t>
            </w:r>
          </w:p>
        </w:tc>
      </w:tr>
      <w:tr w14:paraId="7C556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62CA7A5F">
            <w:pPr>
              <w:snapToGrid w:val="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8</w:t>
            </w:r>
          </w:p>
        </w:tc>
        <w:tc>
          <w:tcPr>
            <w:tcW w:w="3110" w:type="dxa"/>
            <w:vAlign w:val="center"/>
          </w:tcPr>
          <w:p w14:paraId="68EB55FD">
            <w:pPr>
              <w:widowControl/>
              <w:jc w:val="left"/>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工贸企业应当制定有限空间作业现场处置方案，按规定组织演练，并进行演练效果评估。</w:t>
            </w:r>
          </w:p>
        </w:tc>
        <w:tc>
          <w:tcPr>
            <w:tcW w:w="2352" w:type="dxa"/>
            <w:vAlign w:val="center"/>
          </w:tcPr>
          <w:p w14:paraId="1CEE8EFF">
            <w:pPr>
              <w:suppressAutoHyphens/>
              <w:snapToGrid w:val="0"/>
              <w:jc w:val="both"/>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《工贸企业有限空间作业安全规定》（应急管理部〔2023〕13号令）第十条</w:t>
            </w:r>
          </w:p>
        </w:tc>
        <w:tc>
          <w:tcPr>
            <w:tcW w:w="2111" w:type="dxa"/>
            <w:vAlign w:val="center"/>
          </w:tcPr>
          <w:p w14:paraId="0B4B305F">
            <w:pPr>
              <w:suppressAutoHyphens/>
              <w:snapToGrid w:val="0"/>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已</w:t>
            </w:r>
            <w:r>
              <w:rPr>
                <w:rFonts w:hint="eastAsia" w:ascii="宋体" w:hAnsi="宋体" w:eastAsia="宋体" w:cs="宋体"/>
                <w:b w:val="0"/>
                <w:bCs w:val="0"/>
                <w:color w:val="000000" w:themeColor="text1"/>
                <w:sz w:val="21"/>
                <w:szCs w:val="21"/>
                <w14:textFill>
                  <w14:solidFill>
                    <w14:schemeClr w14:val="tx1"/>
                  </w14:solidFill>
                </w14:textFill>
              </w:rPr>
              <w:t>制定有限空间作业现场处置方案，按规定组织演练，并进行演练效果评估。</w:t>
            </w:r>
          </w:p>
        </w:tc>
        <w:tc>
          <w:tcPr>
            <w:tcW w:w="771" w:type="dxa"/>
            <w:vAlign w:val="center"/>
          </w:tcPr>
          <w:p w14:paraId="4F963884">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符合</w:t>
            </w:r>
          </w:p>
        </w:tc>
      </w:tr>
      <w:tr w14:paraId="78459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7F375608">
            <w:pPr>
              <w:snapToGrid w:val="0"/>
              <w:jc w:val="center"/>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9</w:t>
            </w:r>
          </w:p>
        </w:tc>
        <w:tc>
          <w:tcPr>
            <w:tcW w:w="3110" w:type="dxa"/>
            <w:vAlign w:val="center"/>
          </w:tcPr>
          <w:p w14:paraId="40E20F66">
            <w:pPr>
              <w:widowControl/>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工贸企业应当在有限空间出入口等醒目位置设置明显的安全警示标志，并在具备条件的场所设置安全风险告知牌。</w:t>
            </w:r>
          </w:p>
        </w:tc>
        <w:tc>
          <w:tcPr>
            <w:tcW w:w="2352" w:type="dxa"/>
            <w:vAlign w:val="center"/>
          </w:tcPr>
          <w:p w14:paraId="006765A5">
            <w:pPr>
              <w:keepNext w:val="0"/>
              <w:keepLines w:val="0"/>
              <w:pageBreakBefore w:val="0"/>
              <w:widowControl w:val="0"/>
              <w:suppressAutoHyphens/>
              <w:kinsoku/>
              <w:wordWrap/>
              <w:overflowPunct/>
              <w:topLinePunct w:val="0"/>
              <w:autoSpaceDE/>
              <w:autoSpaceDN/>
              <w:bidi w:val="0"/>
              <w:adjustRightInd/>
              <w:snapToGrid w:val="0"/>
              <w:ind w:firstLine="0" w:firstLineChars="0"/>
              <w:jc w:val="both"/>
              <w:textAlignment w:val="auto"/>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《工贸企业有限空间作业安全规定》（应急管理部〔2023〕13号令）第十一条</w:t>
            </w:r>
          </w:p>
        </w:tc>
        <w:tc>
          <w:tcPr>
            <w:tcW w:w="2111" w:type="dxa"/>
            <w:vAlign w:val="center"/>
          </w:tcPr>
          <w:p w14:paraId="3FCB9DC7">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在有限空间出入口等醒目位置设置明显的安全警示标志，并在具备条件的场所设置安全风险告知牌。</w:t>
            </w:r>
          </w:p>
        </w:tc>
        <w:tc>
          <w:tcPr>
            <w:tcW w:w="771" w:type="dxa"/>
            <w:vAlign w:val="center"/>
          </w:tcPr>
          <w:p w14:paraId="18CCC8DC">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符合</w:t>
            </w:r>
          </w:p>
        </w:tc>
      </w:tr>
      <w:tr w14:paraId="79F9E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2AA23B76">
            <w:pPr>
              <w:snapToGrid w:val="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10</w:t>
            </w:r>
          </w:p>
        </w:tc>
        <w:tc>
          <w:tcPr>
            <w:tcW w:w="3110" w:type="dxa"/>
            <w:vAlign w:val="center"/>
          </w:tcPr>
          <w:p w14:paraId="5E45F77F">
            <w:pPr>
              <w:widowControl/>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工贸企业应当对可能产生有毒物质的有限空间采取上锁、隔离栏、防护网或者其他物理隔离措施，防止人员未经审批进入。监护人员负责在作业前解除物理隔离措施。</w:t>
            </w:r>
          </w:p>
        </w:tc>
        <w:tc>
          <w:tcPr>
            <w:tcW w:w="2352" w:type="dxa"/>
            <w:vAlign w:val="center"/>
          </w:tcPr>
          <w:p w14:paraId="6FCBBA3D">
            <w:pPr>
              <w:keepNext w:val="0"/>
              <w:keepLines w:val="0"/>
              <w:pageBreakBefore w:val="0"/>
              <w:widowControl w:val="0"/>
              <w:suppressAutoHyphens/>
              <w:kinsoku/>
              <w:wordWrap/>
              <w:overflowPunct/>
              <w:topLinePunct w:val="0"/>
              <w:autoSpaceDE/>
              <w:autoSpaceDN/>
              <w:bidi w:val="0"/>
              <w:adjustRightInd w:val="0"/>
              <w:snapToGrid w:val="0"/>
              <w:ind w:firstLine="0" w:firstLineChars="0"/>
              <w:jc w:val="both"/>
              <w:textAlignment w:val="auto"/>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《工贸企业有限空间作业安全规定》（应急管理部〔2023〕13号令）第十二条</w:t>
            </w:r>
          </w:p>
        </w:tc>
        <w:tc>
          <w:tcPr>
            <w:tcW w:w="2111" w:type="dxa"/>
            <w:vAlign w:val="center"/>
          </w:tcPr>
          <w:p w14:paraId="7614FD9A">
            <w:pPr>
              <w:suppressAutoHyphens/>
              <w:snapToGrid w:val="0"/>
              <w:jc w:val="both"/>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对可能产生有毒物质的有限空间采取上锁、隔离栏、防护网或者其他物理隔离措施，防止人员未经审批进入。监护人员负责在作业前解除物理隔离措施。</w:t>
            </w:r>
          </w:p>
        </w:tc>
        <w:tc>
          <w:tcPr>
            <w:tcW w:w="771" w:type="dxa"/>
            <w:vAlign w:val="center"/>
          </w:tcPr>
          <w:p w14:paraId="51E4AB41">
            <w:pPr>
              <w:suppressAutoHyphens/>
              <w:snapToGrid w:val="0"/>
              <w:jc w:val="center"/>
              <w:rPr>
                <w:rFonts w:hint="eastAsia" w:ascii="宋体" w:hAnsi="宋体" w:eastAsia="宋体" w:cs="宋体"/>
                <w:b w:val="0"/>
                <w:bCs w:val="0"/>
                <w:snapToGrid w:val="0"/>
                <w:color w:val="000000" w:themeColor="text1"/>
                <w:sz w:val="21"/>
                <w:szCs w:val="21"/>
                <w:lang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符合</w:t>
            </w:r>
          </w:p>
        </w:tc>
      </w:tr>
      <w:tr w14:paraId="6AD2D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59B56C00">
            <w:pPr>
              <w:snapToGrid w:val="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11</w:t>
            </w:r>
          </w:p>
        </w:tc>
        <w:tc>
          <w:tcPr>
            <w:tcW w:w="3110" w:type="dxa"/>
            <w:vAlign w:val="center"/>
          </w:tcPr>
          <w:p w14:paraId="2D67396A">
            <w:pPr>
              <w:widowControl/>
              <w:jc w:val="left"/>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有限空间作业应当严格遵守“先通风、再检测、后作业”要求。</w:t>
            </w:r>
          </w:p>
        </w:tc>
        <w:tc>
          <w:tcPr>
            <w:tcW w:w="2352" w:type="dxa"/>
            <w:vAlign w:val="center"/>
          </w:tcPr>
          <w:p w14:paraId="57BB222C">
            <w:pPr>
              <w:suppressAutoHyphens/>
              <w:snapToGrid w:val="0"/>
              <w:jc w:val="both"/>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《工贸企业有限空间作业安全规定》（应急管理部〔2023〕13号令）第十四条</w:t>
            </w:r>
          </w:p>
        </w:tc>
        <w:tc>
          <w:tcPr>
            <w:tcW w:w="2111" w:type="dxa"/>
            <w:vAlign w:val="center"/>
          </w:tcPr>
          <w:p w14:paraId="0548182C">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eastAsia="zh-CN"/>
                <w14:textFill>
                  <w14:solidFill>
                    <w14:schemeClr w14:val="tx1"/>
                  </w14:solidFill>
                </w14:textFill>
              </w:rPr>
              <w:t>对</w:t>
            </w:r>
            <w:r>
              <w:rPr>
                <w:rFonts w:hint="eastAsia" w:ascii="宋体" w:hAnsi="宋体" w:eastAsia="宋体" w:cs="宋体"/>
                <w:b w:val="0"/>
                <w:bCs w:val="0"/>
                <w:color w:val="000000" w:themeColor="text1"/>
                <w:sz w:val="21"/>
                <w:szCs w:val="21"/>
                <w14:textFill>
                  <w14:solidFill>
                    <w14:schemeClr w14:val="tx1"/>
                  </w14:solidFill>
                </w14:textFill>
              </w:rPr>
              <w:t>有限空间作业</w:t>
            </w:r>
            <w:r>
              <w:rPr>
                <w:rFonts w:hint="eastAsia" w:ascii="宋体" w:hAnsi="宋体" w:eastAsia="宋体" w:cs="宋体"/>
                <w:b w:val="0"/>
                <w:bCs w:val="0"/>
                <w:color w:val="000000" w:themeColor="text1"/>
                <w:sz w:val="21"/>
                <w:szCs w:val="21"/>
                <w:lang w:eastAsia="zh-CN"/>
                <w14:textFill>
                  <w14:solidFill>
                    <w14:schemeClr w14:val="tx1"/>
                  </w14:solidFill>
                </w14:textFill>
              </w:rPr>
              <w:t>时，</w:t>
            </w:r>
            <w:r>
              <w:rPr>
                <w:rFonts w:hint="eastAsia" w:ascii="宋体" w:hAnsi="宋体" w:eastAsia="宋体" w:cs="宋体"/>
                <w:b w:val="0"/>
                <w:bCs w:val="0"/>
                <w:color w:val="000000" w:themeColor="text1"/>
                <w:sz w:val="21"/>
                <w:szCs w:val="21"/>
                <w14:textFill>
                  <w14:solidFill>
                    <w14:schemeClr w14:val="tx1"/>
                  </w14:solidFill>
                </w14:textFill>
              </w:rPr>
              <w:t>严格遵守“先通风、再检测、后作业”要求。</w:t>
            </w:r>
          </w:p>
        </w:tc>
        <w:tc>
          <w:tcPr>
            <w:tcW w:w="771" w:type="dxa"/>
            <w:vAlign w:val="center"/>
          </w:tcPr>
          <w:p w14:paraId="12652F5D">
            <w:pPr>
              <w:suppressAutoHyphens/>
              <w:snapToGrid w:val="0"/>
              <w:jc w:val="center"/>
              <w:rPr>
                <w:rFonts w:hint="eastAsia" w:ascii="宋体" w:hAnsi="宋体" w:eastAsia="宋体" w:cs="宋体"/>
                <w:b w:val="0"/>
                <w:bCs w:val="0"/>
                <w:snapToGrid w:val="0"/>
                <w:color w:val="000000" w:themeColor="text1"/>
                <w:sz w:val="21"/>
                <w:szCs w:val="21"/>
                <w:lang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符合</w:t>
            </w:r>
          </w:p>
        </w:tc>
      </w:tr>
      <w:tr w14:paraId="3EF65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4C1DF318">
            <w:pPr>
              <w:snapToGrid w:val="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12</w:t>
            </w:r>
          </w:p>
        </w:tc>
        <w:tc>
          <w:tcPr>
            <w:tcW w:w="3110" w:type="dxa"/>
            <w:vAlign w:val="center"/>
          </w:tcPr>
          <w:p w14:paraId="65C8AD19">
            <w:pPr>
              <w:widowControl/>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监护人员应当全程进行监护，与作业人员保持实时联络，不得离开作业现场或者进入有限空间参与作业。</w:t>
            </w:r>
          </w:p>
        </w:tc>
        <w:tc>
          <w:tcPr>
            <w:tcW w:w="2352" w:type="dxa"/>
            <w:vAlign w:val="center"/>
          </w:tcPr>
          <w:p w14:paraId="44389ADE">
            <w:pPr>
              <w:suppressAutoHyphens/>
              <w:snapToGrid w:val="0"/>
              <w:jc w:val="both"/>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《工贸企业有限空间作业安全规定》（应急管理部〔2023〕13号令）第十五条</w:t>
            </w:r>
          </w:p>
        </w:tc>
        <w:tc>
          <w:tcPr>
            <w:tcW w:w="2111" w:type="dxa"/>
            <w:vAlign w:val="center"/>
          </w:tcPr>
          <w:p w14:paraId="44DD8528">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监护人员全程进行监护，与作业人员保持实时联络，</w:t>
            </w:r>
            <w:r>
              <w:rPr>
                <w:rFonts w:hint="eastAsia" w:ascii="宋体" w:hAnsi="宋体" w:eastAsia="宋体" w:cs="宋体"/>
                <w:b w:val="0"/>
                <w:bCs w:val="0"/>
                <w:color w:val="000000" w:themeColor="text1"/>
                <w:sz w:val="21"/>
                <w:szCs w:val="21"/>
                <w:lang w:eastAsia="zh-CN"/>
                <w14:textFill>
                  <w14:solidFill>
                    <w14:schemeClr w14:val="tx1"/>
                  </w14:solidFill>
                </w14:textFill>
              </w:rPr>
              <w:t>作业期间未</w:t>
            </w:r>
            <w:r>
              <w:rPr>
                <w:rFonts w:hint="eastAsia" w:ascii="宋体" w:hAnsi="宋体" w:eastAsia="宋体" w:cs="宋体"/>
                <w:b w:val="0"/>
                <w:bCs w:val="0"/>
                <w:color w:val="000000" w:themeColor="text1"/>
                <w:sz w:val="21"/>
                <w:szCs w:val="21"/>
                <w14:textFill>
                  <w14:solidFill>
                    <w14:schemeClr w14:val="tx1"/>
                  </w14:solidFill>
                </w14:textFill>
              </w:rPr>
              <w:t>离开作业现场或者进入有限空间参与作业。</w:t>
            </w:r>
          </w:p>
        </w:tc>
        <w:tc>
          <w:tcPr>
            <w:tcW w:w="771" w:type="dxa"/>
            <w:vAlign w:val="center"/>
          </w:tcPr>
          <w:p w14:paraId="0A708524">
            <w:pPr>
              <w:suppressAutoHyphens/>
              <w:snapToGrid w:val="0"/>
              <w:jc w:val="center"/>
              <w:rPr>
                <w:rFonts w:hint="eastAsia" w:ascii="宋体" w:hAnsi="宋体" w:eastAsia="宋体" w:cs="宋体"/>
                <w:b w:val="0"/>
                <w:bCs w:val="0"/>
                <w:snapToGrid w:val="0"/>
                <w:color w:val="000000" w:themeColor="text1"/>
                <w:sz w:val="21"/>
                <w:szCs w:val="21"/>
                <w:lang w:eastAsia="zh-CN"/>
                <w14:textFill>
                  <w14:solidFill>
                    <w14:schemeClr w14:val="tx1"/>
                  </w14:solidFill>
                </w14:textFill>
              </w:rPr>
            </w:pPr>
            <w:r>
              <w:rPr>
                <w:rFonts w:hint="eastAsia" w:ascii="宋体" w:hAnsi="宋体" w:eastAsia="宋体" w:cs="宋体"/>
                <w:b w:val="0"/>
                <w:bCs w:val="0"/>
                <w:snapToGrid w:val="0"/>
                <w:color w:val="000000" w:themeColor="text1"/>
                <w:sz w:val="21"/>
                <w:szCs w:val="21"/>
                <w:lang w:eastAsia="zh-CN"/>
                <w14:textFill>
                  <w14:solidFill>
                    <w14:schemeClr w14:val="tx1"/>
                  </w14:solidFill>
                </w14:textFill>
              </w:rPr>
              <w:t>符合</w:t>
            </w:r>
          </w:p>
        </w:tc>
      </w:tr>
    </w:tbl>
    <w:p w14:paraId="7D3002F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根据《工贸企业重大事故隐患判定标准》（应急管理部〔2023〕10号令）、《工贸企业有限空间作业安全规定》（应急管理部〔2023〕13号令）的内容，本项目有限空间作业符合相关规范要求。</w:t>
      </w:r>
    </w:p>
    <w:p w14:paraId="2E3472EB">
      <w:pPr>
        <w:rPr>
          <w:rFonts w:hint="eastAsia" w:ascii="黑体" w:hAnsi="黑体" w:eastAsia="黑体" w:cs="黑体"/>
          <w:color w:val="000000" w:themeColor="text1"/>
          <w14:textFill>
            <w14:solidFill>
              <w14:schemeClr w14:val="tx1"/>
            </w14:solidFill>
          </w14:textFill>
        </w:rPr>
      </w:pPr>
      <w:bookmarkStart w:id="837" w:name="_Toc24295"/>
      <w:r>
        <w:rPr>
          <w:rFonts w:hint="eastAsia" w:ascii="黑体" w:hAnsi="黑体" w:eastAsia="黑体" w:cs="黑体"/>
          <w:color w:val="000000" w:themeColor="text1"/>
          <w14:textFill>
            <w14:solidFill>
              <w14:schemeClr w14:val="tx1"/>
            </w14:solidFill>
          </w14:textFill>
        </w:rPr>
        <w:br w:type="page"/>
      </w:r>
    </w:p>
    <w:p w14:paraId="30A525C0">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default" w:ascii="Times New Roman" w:hAnsi="Times New Roman" w:eastAsia="黑体" w:cs="Times New Roman"/>
          <w:color w:val="000000" w:themeColor="text1"/>
          <w14:textFill>
            <w14:solidFill>
              <w14:schemeClr w14:val="tx1"/>
            </w14:solidFill>
          </w14:textFill>
        </w:rPr>
      </w:pPr>
      <w:bookmarkStart w:id="838" w:name="_Toc24766"/>
      <w:r>
        <w:rPr>
          <w:rFonts w:hint="default" w:ascii="Times New Roman" w:hAnsi="Times New Roman" w:eastAsia="黑体" w:cs="Times New Roman"/>
          <w:color w:val="000000" w:themeColor="text1"/>
          <w14:textFill>
            <w14:solidFill>
              <w14:schemeClr w14:val="tx1"/>
            </w14:solidFill>
          </w14:textFill>
        </w:rPr>
        <w:t>第6章</w:t>
      </w:r>
      <w:bookmarkEnd w:id="655"/>
      <w:bookmarkEnd w:id="656"/>
      <w:r>
        <w:rPr>
          <w:rFonts w:hint="default" w:ascii="Times New Roman" w:hAnsi="Times New Roman" w:eastAsia="黑体" w:cs="Times New Roman"/>
          <w:color w:val="000000" w:themeColor="text1"/>
          <w14:textFill>
            <w14:solidFill>
              <w14:schemeClr w14:val="tx1"/>
            </w14:solidFill>
          </w14:textFill>
        </w:rPr>
        <w:t xml:space="preserve">  主要存在问题</w:t>
      </w:r>
      <w:bookmarkEnd w:id="657"/>
      <w:r>
        <w:rPr>
          <w:rFonts w:hint="default" w:ascii="Times New Roman" w:hAnsi="Times New Roman" w:eastAsia="黑体" w:cs="Times New Roman"/>
          <w:color w:val="000000" w:themeColor="text1"/>
          <w14:textFill>
            <w14:solidFill>
              <w14:schemeClr w14:val="tx1"/>
            </w14:solidFill>
          </w14:textFill>
        </w:rPr>
        <w:t>及安全对策措施建议</w:t>
      </w:r>
      <w:bookmarkEnd w:id="658"/>
      <w:bookmarkEnd w:id="659"/>
      <w:bookmarkEnd w:id="660"/>
      <w:bookmarkEnd w:id="661"/>
      <w:bookmarkEnd w:id="837"/>
      <w:bookmarkEnd w:id="838"/>
    </w:p>
    <w:p w14:paraId="3EFA4C39">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839" w:name="_Toc208675041"/>
      <w:bookmarkStart w:id="840" w:name="_Toc3640"/>
      <w:bookmarkStart w:id="841" w:name="_Toc313453628"/>
      <w:bookmarkStart w:id="842" w:name="_Toc191728256"/>
      <w:bookmarkStart w:id="843" w:name="_Toc191730100"/>
      <w:bookmarkStart w:id="844" w:name="_Toc335926317"/>
      <w:bookmarkStart w:id="845" w:name="_Toc28519"/>
      <w:bookmarkStart w:id="846" w:name="_Toc4885"/>
      <w:bookmarkStart w:id="847" w:name="_Toc191729816"/>
      <w:bookmarkStart w:id="848" w:name="_Toc86464484"/>
      <w:bookmarkStart w:id="849" w:name="_Toc208674453"/>
      <w:bookmarkStart w:id="850" w:name="_Toc29403"/>
      <w:bookmarkStart w:id="851" w:name="_Toc23454"/>
      <w:bookmarkStart w:id="852" w:name="_Toc191375166"/>
      <w:r>
        <w:rPr>
          <w:rFonts w:hint="default" w:ascii="Times New Roman" w:hAnsi="Times New Roman" w:eastAsia="楷体" w:cs="Times New Roman"/>
          <w:color w:val="000000" w:themeColor="text1"/>
          <w14:textFill>
            <w14:solidFill>
              <w14:schemeClr w14:val="tx1"/>
            </w14:solidFill>
          </w14:textFill>
        </w:rPr>
        <w:t>6.1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主要存在问题</w:t>
      </w:r>
      <w:bookmarkEnd w:id="839"/>
      <w:bookmarkEnd w:id="840"/>
      <w:bookmarkEnd w:id="841"/>
      <w:bookmarkEnd w:id="842"/>
      <w:bookmarkEnd w:id="843"/>
      <w:bookmarkEnd w:id="844"/>
      <w:bookmarkEnd w:id="845"/>
      <w:bookmarkEnd w:id="846"/>
      <w:bookmarkEnd w:id="847"/>
      <w:bookmarkEnd w:id="848"/>
      <w:bookmarkEnd w:id="849"/>
      <w:bookmarkEnd w:id="850"/>
      <w:bookmarkEnd w:id="851"/>
    </w:p>
    <w:p w14:paraId="36D98F0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我公司受</w:t>
      </w:r>
      <w:r>
        <w:rPr>
          <w:rFonts w:hint="eastAsia" w:ascii="宋体" w:hAnsi="宋体" w:eastAsia="宋体" w:cs="宋体"/>
          <w:color w:val="000000" w:themeColor="text1"/>
          <w:sz w:val="28"/>
          <w:szCs w:val="28"/>
          <w:lang w:val="en-US" w:eastAsia="zh-CN"/>
          <w14:textFill>
            <w14:solidFill>
              <w14:schemeClr w14:val="tx1"/>
            </w14:solidFill>
          </w14:textFill>
        </w:rPr>
        <w:t>牟定乾泰建材有限公司</w:t>
      </w:r>
      <w:r>
        <w:rPr>
          <w:rFonts w:hint="eastAsia" w:ascii="宋体" w:hAnsi="宋体" w:eastAsia="宋体" w:cs="宋体"/>
          <w:color w:val="000000" w:themeColor="text1"/>
          <w:sz w:val="28"/>
          <w:szCs w:val="28"/>
          <w14:textFill>
            <w14:solidFill>
              <w14:schemeClr w14:val="tx1"/>
            </w14:solidFill>
          </w14:textFill>
        </w:rPr>
        <w:t>安全现状评价的委托，于202</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15</w:t>
      </w:r>
      <w:r>
        <w:rPr>
          <w:rFonts w:hint="eastAsia" w:ascii="宋体" w:hAnsi="宋体" w:eastAsia="宋体" w:cs="宋体"/>
          <w:color w:val="000000" w:themeColor="text1"/>
          <w:sz w:val="28"/>
          <w:szCs w:val="28"/>
          <w14:textFill>
            <w14:solidFill>
              <w14:schemeClr w14:val="tx1"/>
            </w14:solidFill>
          </w14:textFill>
        </w:rPr>
        <w:t>日，组织安全评价人员，对现场进行实地勘察</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通过现场勘查，</w:t>
      </w:r>
    </w:p>
    <w:p w14:paraId="72844D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梳理出牟定乾泰建材有限公司年产9000万块页岩多孔空心砖生产线技术改造项目主要存在以下问题：</w:t>
      </w:r>
    </w:p>
    <w:p w14:paraId="46CAF83D">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b/>
          <w:bCs/>
          <w:color w:val="000000" w:themeColor="text1"/>
          <w:szCs w:val="24"/>
          <w14:textFill>
            <w14:solidFill>
              <w14:schemeClr w14:val="tx1"/>
            </w14:solidFill>
          </w14:textFill>
        </w:rPr>
        <w:t>表 6-1 安全评价提出的企业存在问题一览表</w:t>
      </w:r>
    </w:p>
    <w:tbl>
      <w:tblPr>
        <w:tblStyle w:val="52"/>
        <w:tblW w:w="51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4140"/>
        <w:gridCol w:w="4104"/>
      </w:tblGrid>
      <w:tr w14:paraId="3DBEA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07" w:type="pct"/>
            <w:vAlign w:val="center"/>
          </w:tcPr>
          <w:p w14:paraId="46D6644E">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2306" w:type="pct"/>
            <w:vAlign w:val="center"/>
          </w:tcPr>
          <w:p w14:paraId="1AE8145B">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存在的问题</w:t>
            </w:r>
          </w:p>
        </w:tc>
        <w:tc>
          <w:tcPr>
            <w:tcW w:w="2286" w:type="pct"/>
            <w:vAlign w:val="center"/>
          </w:tcPr>
          <w:p w14:paraId="3F233B73">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整改建议</w:t>
            </w:r>
          </w:p>
        </w:tc>
      </w:tr>
      <w:tr w14:paraId="4DCCD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vAlign w:val="center"/>
          </w:tcPr>
          <w:p w14:paraId="585C195D">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1</w:t>
            </w:r>
          </w:p>
        </w:tc>
        <w:tc>
          <w:tcPr>
            <w:tcW w:w="2306" w:type="pct"/>
            <w:vAlign w:val="center"/>
          </w:tcPr>
          <w:p w14:paraId="7119160A">
            <w:pPr>
              <w:pStyle w:val="68"/>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停用设备未悬挂“设备已停用”安全警示标牌。</w:t>
            </w:r>
          </w:p>
        </w:tc>
        <w:tc>
          <w:tcPr>
            <w:tcW w:w="2286" w:type="pct"/>
            <w:vAlign w:val="center"/>
          </w:tcPr>
          <w:p w14:paraId="5DDA065D">
            <w:pPr>
              <w:pStyle w:val="68"/>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停用设备</w:t>
            </w:r>
            <w:r>
              <w:rPr>
                <w:rFonts w:hint="eastAsia" w:ascii="宋体" w:hAnsi="宋体" w:eastAsia="宋体" w:cs="宋体"/>
                <w:b w:val="0"/>
                <w:bCs w:val="0"/>
                <w:color w:val="000000" w:themeColor="text1"/>
                <w:sz w:val="21"/>
                <w:szCs w:val="21"/>
                <w:lang w:val="en-US" w:eastAsia="zh-CN"/>
                <w14:textFill>
                  <w14:solidFill>
                    <w14:schemeClr w14:val="tx1"/>
                  </w14:solidFill>
                </w14:textFill>
              </w:rPr>
              <w:t>应</w:t>
            </w:r>
            <w:r>
              <w:rPr>
                <w:rFonts w:hint="eastAsia" w:ascii="宋体" w:hAnsi="宋体" w:eastAsia="宋体" w:cs="宋体"/>
                <w:b w:val="0"/>
                <w:bCs w:val="0"/>
                <w:color w:val="000000" w:themeColor="text1"/>
                <w:sz w:val="21"/>
                <w:szCs w:val="21"/>
                <w14:textFill>
                  <w14:solidFill>
                    <w14:schemeClr w14:val="tx1"/>
                  </w14:solidFill>
                </w14:textFill>
              </w:rPr>
              <w:t>悬挂“设备已停用”安全警示标牌。</w:t>
            </w:r>
          </w:p>
        </w:tc>
      </w:tr>
      <w:tr w14:paraId="6EB9E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407" w:type="pct"/>
            <w:vAlign w:val="center"/>
          </w:tcPr>
          <w:p w14:paraId="1DFB3BF1">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w:t>
            </w:r>
          </w:p>
        </w:tc>
        <w:tc>
          <w:tcPr>
            <w:tcW w:w="2306" w:type="pct"/>
            <w:vAlign w:val="center"/>
          </w:tcPr>
          <w:p w14:paraId="0C7ED8F6">
            <w:pPr>
              <w:pStyle w:val="68"/>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部分设备</w:t>
            </w:r>
            <w:r>
              <w:rPr>
                <w:rFonts w:hint="eastAsia" w:ascii="宋体" w:hAnsi="宋体" w:eastAsia="宋体" w:cs="宋体"/>
                <w:b w:val="0"/>
                <w:bCs w:val="0"/>
                <w:color w:val="000000" w:themeColor="text1"/>
                <w:sz w:val="21"/>
                <w:szCs w:val="21"/>
                <w14:textFill>
                  <w14:solidFill>
                    <w14:schemeClr w14:val="tx1"/>
                  </w14:solidFill>
                </w14:textFill>
              </w:rPr>
              <w:t>电机旋转部位未安转安全防护罩。</w:t>
            </w:r>
          </w:p>
        </w:tc>
        <w:tc>
          <w:tcPr>
            <w:tcW w:w="2286" w:type="pct"/>
            <w:vAlign w:val="center"/>
          </w:tcPr>
          <w:p w14:paraId="00599587">
            <w:pPr>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对所有生产设备进行检查，</w:t>
            </w:r>
            <w:r>
              <w:rPr>
                <w:rFonts w:hint="eastAsia" w:ascii="宋体" w:hAnsi="宋体" w:eastAsia="宋体" w:cs="宋体"/>
                <w:b w:val="0"/>
                <w:bCs w:val="0"/>
                <w:color w:val="000000" w:themeColor="text1"/>
                <w:sz w:val="21"/>
                <w:szCs w:val="21"/>
                <w14:textFill>
                  <w14:solidFill>
                    <w14:schemeClr w14:val="tx1"/>
                  </w14:solidFill>
                </w14:textFill>
              </w:rPr>
              <w:t>电机旋转部位安转安全防护罩。</w:t>
            </w:r>
          </w:p>
        </w:tc>
      </w:tr>
      <w:tr w14:paraId="02965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vAlign w:val="center"/>
          </w:tcPr>
          <w:p w14:paraId="06F20916">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w:t>
            </w:r>
          </w:p>
        </w:tc>
        <w:tc>
          <w:tcPr>
            <w:tcW w:w="2306" w:type="pct"/>
            <w:vAlign w:val="center"/>
          </w:tcPr>
          <w:p w14:paraId="025C1A73">
            <w:pPr>
              <w:pStyle w:val="68"/>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灭火器无巡检记录；</w:t>
            </w:r>
          </w:p>
        </w:tc>
        <w:tc>
          <w:tcPr>
            <w:tcW w:w="2286" w:type="pct"/>
            <w:vAlign w:val="center"/>
          </w:tcPr>
          <w:p w14:paraId="5D4E0030">
            <w:pPr>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对全厂</w:t>
            </w:r>
            <w:r>
              <w:rPr>
                <w:rFonts w:hint="eastAsia" w:ascii="宋体" w:hAnsi="宋体" w:eastAsia="宋体" w:cs="宋体"/>
                <w:b w:val="0"/>
                <w:bCs w:val="0"/>
                <w:color w:val="000000" w:themeColor="text1"/>
                <w:sz w:val="21"/>
                <w:szCs w:val="21"/>
                <w14:textFill>
                  <w14:solidFill>
                    <w14:schemeClr w14:val="tx1"/>
                  </w14:solidFill>
                </w14:textFill>
              </w:rPr>
              <w:t>灭火器</w:t>
            </w:r>
            <w:r>
              <w:rPr>
                <w:rFonts w:hint="eastAsia" w:ascii="宋体" w:hAnsi="宋体" w:eastAsia="宋体" w:cs="宋体"/>
                <w:b w:val="0"/>
                <w:bCs w:val="0"/>
                <w:color w:val="000000" w:themeColor="text1"/>
                <w:sz w:val="21"/>
                <w:szCs w:val="21"/>
                <w:lang w:val="en-US" w:eastAsia="zh-CN"/>
                <w14:textFill>
                  <w14:solidFill>
                    <w14:schemeClr w14:val="tx1"/>
                  </w14:solidFill>
                </w14:textFill>
              </w:rPr>
              <w:t>定期组织检查、维护并做好记录，确保完好有效。</w:t>
            </w:r>
            <w:r>
              <w:rPr>
                <w:rFonts w:hint="eastAsia" w:ascii="宋体" w:hAnsi="宋体" w:eastAsia="宋体" w:cs="宋体"/>
                <w:b w:val="0"/>
                <w:bCs w:val="0"/>
                <w:color w:val="000000" w:themeColor="text1"/>
                <w:sz w:val="21"/>
                <w:szCs w:val="21"/>
                <w14:textFill>
                  <w14:solidFill>
                    <w14:schemeClr w14:val="tx1"/>
                  </w14:solidFill>
                </w14:textFill>
              </w:rPr>
              <w:t>灭火器应张贴日常检查记录表（每月一次）</w:t>
            </w:r>
            <w:r>
              <w:rPr>
                <w:rFonts w:hint="eastAsia" w:ascii="宋体" w:hAnsi="宋体" w:eastAsia="宋体" w:cs="宋体"/>
                <w:b w:val="0"/>
                <w:bCs w:val="0"/>
                <w:color w:val="000000" w:themeColor="text1"/>
                <w:sz w:val="21"/>
                <w:szCs w:val="21"/>
                <w:lang w:eastAsia="zh-CN"/>
                <w14:textFill>
                  <w14:solidFill>
                    <w14:schemeClr w14:val="tx1"/>
                  </w14:solidFill>
                </w14:textFill>
              </w:rPr>
              <w:t>。</w:t>
            </w:r>
          </w:p>
        </w:tc>
      </w:tr>
      <w:tr w14:paraId="4E849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vAlign w:val="center"/>
          </w:tcPr>
          <w:p w14:paraId="28AAFC54">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4</w:t>
            </w:r>
          </w:p>
        </w:tc>
        <w:tc>
          <w:tcPr>
            <w:tcW w:w="2306" w:type="pct"/>
            <w:vAlign w:val="center"/>
          </w:tcPr>
          <w:p w14:paraId="5B866209">
            <w:pPr>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储气罐、压力表、安全阀未检定。</w:t>
            </w:r>
          </w:p>
        </w:tc>
        <w:tc>
          <w:tcPr>
            <w:tcW w:w="2286" w:type="pct"/>
            <w:vAlign w:val="center"/>
          </w:tcPr>
          <w:p w14:paraId="250E0A21">
            <w:pPr>
              <w:pStyle w:val="68"/>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储气罐、压力表、安全阀送检。</w:t>
            </w:r>
          </w:p>
        </w:tc>
      </w:tr>
      <w:tr w14:paraId="2B2E4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vAlign w:val="center"/>
          </w:tcPr>
          <w:p w14:paraId="06C72391">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5</w:t>
            </w:r>
          </w:p>
        </w:tc>
        <w:tc>
          <w:tcPr>
            <w:tcW w:w="2306" w:type="pct"/>
            <w:vAlign w:val="center"/>
          </w:tcPr>
          <w:p w14:paraId="3FBE5D5F">
            <w:pPr>
              <w:pStyle w:val="328"/>
              <w:keepNext w:val="0"/>
              <w:keepLines w:val="0"/>
              <w:pageBreakBefore w:val="0"/>
              <w:widowControl w:val="0"/>
              <w:kinsoku/>
              <w:wordWrap/>
              <w:overflowPunct/>
              <w:topLinePunct w:val="0"/>
              <w:bidi w:val="0"/>
              <w:snapToGrid/>
              <w:spacing w:line="400" w:lineRule="exact"/>
              <w:ind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多处楼梯无扶手。</w:t>
            </w:r>
          </w:p>
        </w:tc>
        <w:tc>
          <w:tcPr>
            <w:tcW w:w="2286" w:type="pct"/>
            <w:vAlign w:val="center"/>
          </w:tcPr>
          <w:p w14:paraId="52254FC8">
            <w:pPr>
              <w:pStyle w:val="68"/>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en-US" w:bidi="ar-SA"/>
                <w14:textFill>
                  <w14:solidFill>
                    <w14:schemeClr w14:val="tx1"/>
                  </w14:solidFill>
                </w14:textFill>
              </w:rPr>
              <w:t>对楼梯进行全面排查，增设“上下楼梯注意安全”等警示标志，加装扶手。</w:t>
            </w:r>
          </w:p>
        </w:tc>
      </w:tr>
      <w:tr w14:paraId="32EEA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vAlign w:val="center"/>
          </w:tcPr>
          <w:p w14:paraId="7D7A50BE">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6</w:t>
            </w:r>
          </w:p>
        </w:tc>
        <w:tc>
          <w:tcPr>
            <w:tcW w:w="2306" w:type="pct"/>
            <w:vAlign w:val="center"/>
          </w:tcPr>
          <w:p w14:paraId="21F017E8">
            <w:pPr>
              <w:pStyle w:val="328"/>
              <w:keepNext w:val="0"/>
              <w:keepLines w:val="0"/>
              <w:pageBreakBefore w:val="0"/>
              <w:widowControl w:val="0"/>
              <w:kinsoku/>
              <w:wordWrap/>
              <w:overflowPunct/>
              <w:topLinePunct w:val="0"/>
              <w:bidi w:val="0"/>
              <w:snapToGrid/>
              <w:spacing w:line="400" w:lineRule="exact"/>
              <w:ind w:left="0" w:leftChars="0" w:firstLine="0" w:firstLineChars="0"/>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用电线路敷设不规范，未穿管，与金属构件搭接未采取有效绝缘措施</w:t>
            </w:r>
            <w:r>
              <w:rPr>
                <w:rFonts w:hint="eastAsia" w:ascii="宋体" w:hAnsi="宋体" w:eastAsia="宋体" w:cs="宋体"/>
                <w:b w:val="0"/>
                <w:bCs w:val="0"/>
                <w:color w:val="000000" w:themeColor="text1"/>
                <w:sz w:val="21"/>
                <w:szCs w:val="21"/>
                <w:lang w:eastAsia="zh-CN"/>
                <w14:textFill>
                  <w14:solidFill>
                    <w14:schemeClr w14:val="tx1"/>
                  </w14:solidFill>
                </w14:textFill>
              </w:rPr>
              <w:t>。</w:t>
            </w:r>
          </w:p>
        </w:tc>
        <w:tc>
          <w:tcPr>
            <w:tcW w:w="2286" w:type="pct"/>
            <w:vAlign w:val="center"/>
          </w:tcPr>
          <w:p w14:paraId="0DA13796">
            <w:pPr>
              <w:pStyle w:val="68"/>
              <w:keepNext w:val="0"/>
              <w:keepLines w:val="0"/>
              <w:pageBreakBefore w:val="0"/>
              <w:widowControl w:val="0"/>
              <w:kinsoku/>
              <w:wordWrap/>
              <w:overflowPunct/>
              <w:topLinePunct w:val="0"/>
              <w:autoSpaceDE w:val="0"/>
              <w:autoSpaceDN w:val="0"/>
              <w:bidi w:val="0"/>
              <w:adjustRightInd/>
              <w:snapToGrid/>
              <w:spacing w:line="400" w:lineRule="exact"/>
              <w:ind w:firstLine="0" w:firstLineChars="0"/>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规范用电线路敷设，与金属搭接的地方应穿管或加装绝缘垫。</w:t>
            </w:r>
          </w:p>
        </w:tc>
      </w:tr>
      <w:tr w14:paraId="65E65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vAlign w:val="center"/>
          </w:tcPr>
          <w:p w14:paraId="321D1995">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7</w:t>
            </w:r>
          </w:p>
        </w:tc>
        <w:tc>
          <w:tcPr>
            <w:tcW w:w="2306" w:type="pct"/>
            <w:vAlign w:val="center"/>
          </w:tcPr>
          <w:p w14:paraId="64D7DAFF">
            <w:pPr>
              <w:pStyle w:val="328"/>
              <w:keepNext w:val="0"/>
              <w:keepLines w:val="0"/>
              <w:pageBreakBefore w:val="0"/>
              <w:widowControl w:val="0"/>
              <w:kinsoku/>
              <w:wordWrap/>
              <w:overflowPunct/>
              <w:topLinePunct w:val="0"/>
              <w:bidi w:val="0"/>
              <w:snapToGrid/>
              <w:spacing w:line="400" w:lineRule="exact"/>
              <w:ind w:left="0" w:leftChars="0" w:firstLine="0" w:firstLineChars="0"/>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kern w:val="28"/>
                <w:sz w:val="21"/>
                <w:szCs w:val="21"/>
                <w:lang w:val="en-US" w:eastAsia="zh-CN"/>
                <w14:textFill>
                  <w14:solidFill>
                    <w14:schemeClr w14:val="tx1"/>
                  </w14:solidFill>
                </w14:textFill>
              </w:rPr>
              <w:t>作业平台安全防护栏设置不全。</w:t>
            </w:r>
          </w:p>
        </w:tc>
        <w:tc>
          <w:tcPr>
            <w:tcW w:w="2286" w:type="pct"/>
            <w:vAlign w:val="center"/>
          </w:tcPr>
          <w:p w14:paraId="3A8E03D1">
            <w:pPr>
              <w:pStyle w:val="68"/>
              <w:keepNext w:val="0"/>
              <w:keepLines w:val="0"/>
              <w:pageBreakBefore w:val="0"/>
              <w:widowControl w:val="0"/>
              <w:kinsoku/>
              <w:wordWrap/>
              <w:overflowPunct/>
              <w:topLinePunct w:val="0"/>
              <w:autoSpaceDE w:val="0"/>
              <w:autoSpaceDN w:val="0"/>
              <w:bidi w:val="0"/>
              <w:adjustRightInd/>
              <w:snapToGrid/>
              <w:spacing w:line="400" w:lineRule="exact"/>
              <w:ind w:firstLine="0" w:firstLineChars="0"/>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kern w:val="28"/>
                <w:sz w:val="21"/>
                <w:szCs w:val="21"/>
                <w:lang w:val="en-US" w:eastAsia="zh-CN"/>
                <w14:textFill>
                  <w14:solidFill>
                    <w14:schemeClr w14:val="tx1"/>
                  </w14:solidFill>
                </w14:textFill>
              </w:rPr>
              <w:t>完善安全防护栏。</w:t>
            </w:r>
          </w:p>
        </w:tc>
      </w:tr>
      <w:tr w14:paraId="4DFFC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vAlign w:val="center"/>
          </w:tcPr>
          <w:p w14:paraId="203E89FC">
            <w:pPr>
              <w:pStyle w:val="68"/>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8</w:t>
            </w:r>
          </w:p>
        </w:tc>
        <w:tc>
          <w:tcPr>
            <w:tcW w:w="2306" w:type="pct"/>
            <w:vAlign w:val="center"/>
          </w:tcPr>
          <w:p w14:paraId="0F12E9C1">
            <w:pPr>
              <w:pStyle w:val="328"/>
              <w:keepNext w:val="0"/>
              <w:keepLines w:val="0"/>
              <w:pageBreakBefore w:val="0"/>
              <w:widowControl w:val="0"/>
              <w:kinsoku/>
              <w:wordWrap/>
              <w:overflowPunct/>
              <w:topLinePunct w:val="0"/>
              <w:bidi w:val="0"/>
              <w:snapToGrid/>
              <w:spacing w:line="400" w:lineRule="exact"/>
              <w:ind w:left="0" w:leftChars="0" w:firstLine="0" w:firstLineChars="0"/>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kern w:val="28"/>
                <w:sz w:val="21"/>
                <w:szCs w:val="21"/>
                <w:lang w:val="en-US" w:eastAsia="zh-CN"/>
                <w14:textFill>
                  <w14:solidFill>
                    <w14:schemeClr w14:val="tx1"/>
                  </w14:solidFill>
                </w14:textFill>
              </w:rPr>
              <w:t>隧道</w:t>
            </w:r>
            <w:r>
              <w:rPr>
                <w:rFonts w:hint="eastAsia" w:ascii="宋体" w:hAnsi="宋体" w:eastAsia="宋体" w:cs="宋体"/>
                <w:b w:val="0"/>
                <w:bCs w:val="0"/>
                <w:color w:val="000000" w:themeColor="text1"/>
                <w:kern w:val="28"/>
                <w:sz w:val="21"/>
                <w:szCs w:val="21"/>
                <w14:textFill>
                  <w14:solidFill>
                    <w14:schemeClr w14:val="tx1"/>
                  </w14:solidFill>
                </w14:textFill>
              </w:rPr>
              <w:t>窑、脱硫塔</w:t>
            </w:r>
            <w:r>
              <w:rPr>
                <w:rFonts w:hint="eastAsia" w:ascii="宋体" w:hAnsi="宋体" w:eastAsia="宋体" w:cs="宋体"/>
                <w:b w:val="0"/>
                <w:bCs w:val="0"/>
                <w:color w:val="000000" w:themeColor="text1"/>
                <w:kern w:val="28"/>
                <w:sz w:val="21"/>
                <w:szCs w:val="21"/>
                <w:lang w:eastAsia="zh-CN"/>
                <w14:textFill>
                  <w14:solidFill>
                    <w14:schemeClr w14:val="tx1"/>
                  </w14:solidFill>
                </w14:textFill>
              </w:rPr>
              <w:t>、</w:t>
            </w:r>
            <w:r>
              <w:rPr>
                <w:rFonts w:hint="eastAsia" w:ascii="宋体" w:hAnsi="宋体" w:eastAsia="宋体" w:cs="宋体"/>
                <w:b w:val="0"/>
                <w:bCs w:val="0"/>
                <w:color w:val="000000" w:themeColor="text1"/>
                <w:kern w:val="28"/>
                <w:sz w:val="21"/>
                <w:szCs w:val="21"/>
                <w:lang w:val="en-US" w:eastAsia="zh-CN"/>
                <w14:textFill>
                  <w14:solidFill>
                    <w14:schemeClr w14:val="tx1"/>
                  </w14:solidFill>
                </w14:textFill>
              </w:rPr>
              <w:t>污水处理池</w:t>
            </w:r>
            <w:r>
              <w:rPr>
                <w:rFonts w:hint="eastAsia" w:ascii="宋体" w:hAnsi="宋体" w:eastAsia="宋体" w:cs="宋体"/>
                <w:b w:val="0"/>
                <w:bCs w:val="0"/>
                <w:color w:val="000000" w:themeColor="text1"/>
                <w:kern w:val="28"/>
                <w:sz w:val="21"/>
                <w:szCs w:val="21"/>
                <w14:textFill>
                  <w14:solidFill>
                    <w14:schemeClr w14:val="tx1"/>
                  </w14:solidFill>
                </w14:textFill>
              </w:rPr>
              <w:t>等未进行有限空间辨识及管理</w:t>
            </w:r>
            <w:r>
              <w:rPr>
                <w:rFonts w:hint="eastAsia" w:ascii="宋体" w:hAnsi="宋体" w:eastAsia="宋体" w:cs="宋体"/>
                <w:b w:val="0"/>
                <w:bCs w:val="0"/>
                <w:color w:val="000000" w:themeColor="text1"/>
                <w:kern w:val="28"/>
                <w:sz w:val="21"/>
                <w:szCs w:val="21"/>
                <w:lang w:eastAsia="zh-CN"/>
                <w14:textFill>
                  <w14:solidFill>
                    <w14:schemeClr w14:val="tx1"/>
                  </w14:solidFill>
                </w14:textFill>
              </w:rPr>
              <w:t>。</w:t>
            </w:r>
          </w:p>
        </w:tc>
        <w:tc>
          <w:tcPr>
            <w:tcW w:w="2286" w:type="pct"/>
            <w:vAlign w:val="center"/>
          </w:tcPr>
          <w:p w14:paraId="437C7499">
            <w:pPr>
              <w:keepNext w:val="0"/>
              <w:keepLines w:val="0"/>
              <w:widowControl/>
              <w:suppressLineNumbers w:val="0"/>
              <w:jc w:val="left"/>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kern w:val="28"/>
                <w:sz w:val="21"/>
                <w:szCs w:val="21"/>
                <w:lang w:val="en-US" w:eastAsia="zh-CN"/>
                <w14:textFill>
                  <w14:solidFill>
                    <w14:schemeClr w14:val="tx1"/>
                  </w14:solidFill>
                </w14:textFill>
              </w:rPr>
              <w:t>隧道</w:t>
            </w:r>
            <w:r>
              <w:rPr>
                <w:rFonts w:hint="eastAsia" w:ascii="宋体" w:hAnsi="宋体" w:eastAsia="宋体" w:cs="宋体"/>
                <w:b w:val="0"/>
                <w:bCs w:val="0"/>
                <w:color w:val="000000" w:themeColor="text1"/>
                <w:kern w:val="28"/>
                <w:sz w:val="21"/>
                <w:szCs w:val="21"/>
                <w14:textFill>
                  <w14:solidFill>
                    <w14:schemeClr w14:val="tx1"/>
                  </w14:solidFill>
                </w14:textFill>
              </w:rPr>
              <w:t>窑、脱硫塔</w:t>
            </w:r>
            <w:r>
              <w:rPr>
                <w:rFonts w:hint="eastAsia" w:ascii="宋体" w:hAnsi="宋体" w:eastAsia="宋体" w:cs="宋体"/>
                <w:b w:val="0"/>
                <w:bCs w:val="0"/>
                <w:color w:val="000000" w:themeColor="text1"/>
                <w:kern w:val="28"/>
                <w:sz w:val="21"/>
                <w:szCs w:val="21"/>
                <w:lang w:eastAsia="zh-CN"/>
                <w14:textFill>
                  <w14:solidFill>
                    <w14:schemeClr w14:val="tx1"/>
                  </w14:solidFill>
                </w14:textFill>
              </w:rPr>
              <w:t>、</w:t>
            </w:r>
            <w:r>
              <w:rPr>
                <w:rFonts w:hint="eastAsia" w:ascii="宋体" w:hAnsi="宋体" w:eastAsia="宋体" w:cs="宋体"/>
                <w:b w:val="0"/>
                <w:bCs w:val="0"/>
                <w:color w:val="000000" w:themeColor="text1"/>
                <w:kern w:val="28"/>
                <w:sz w:val="21"/>
                <w:szCs w:val="21"/>
                <w:lang w:val="en-US" w:eastAsia="zh-CN"/>
                <w14:textFill>
                  <w14:solidFill>
                    <w14:schemeClr w14:val="tx1"/>
                  </w14:solidFill>
                </w14:textFill>
              </w:rPr>
              <w:t>污水处理池等应进行有限空间辨识及管理，悬挂“有限空间未经许可严禁进入”安全警示标牌，悬挂</w:t>
            </w:r>
            <w:r>
              <w:rPr>
                <w:rFonts w:hint="eastAsia" w:ascii="宋体" w:hAnsi="宋体" w:eastAsia="宋体" w:cs="宋体"/>
                <w:b w:val="0"/>
                <w:bCs w:val="0"/>
                <w:color w:val="000000" w:themeColor="text1"/>
                <w:kern w:val="28"/>
                <w:sz w:val="21"/>
                <w:szCs w:val="21"/>
                <w14:textFill>
                  <w14:solidFill>
                    <w14:schemeClr w14:val="tx1"/>
                  </w14:solidFill>
                </w14:textFill>
              </w:rPr>
              <w:t>有限空间安全风险告知牌</w:t>
            </w:r>
            <w:r>
              <w:rPr>
                <w:rFonts w:hint="eastAsia" w:ascii="宋体" w:hAnsi="宋体" w:eastAsia="宋体" w:cs="宋体"/>
                <w:b w:val="0"/>
                <w:bCs w:val="0"/>
                <w:color w:val="000000" w:themeColor="text1"/>
                <w:kern w:val="28"/>
                <w:sz w:val="21"/>
                <w:szCs w:val="21"/>
                <w:lang w:eastAsia="zh-CN"/>
                <w14:textFill>
                  <w14:solidFill>
                    <w14:schemeClr w14:val="tx1"/>
                  </w14:solidFill>
                </w14:textFill>
              </w:rPr>
              <w:t>。</w:t>
            </w:r>
          </w:p>
        </w:tc>
      </w:tr>
    </w:tbl>
    <w:p w14:paraId="414A38F9">
      <w:pPr>
        <w:pStyle w:val="9"/>
        <w:bidi w:val="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整改报告见附件</w:t>
      </w:r>
      <w:r>
        <w:rPr>
          <w:rFonts w:hint="eastAsia"/>
          <w:color w:val="000000" w:themeColor="text1"/>
          <w:sz w:val="28"/>
          <w:szCs w:val="28"/>
          <w:lang w:val="en-US" w:eastAsia="zh-CN"/>
          <w14:textFill>
            <w14:solidFill>
              <w14:schemeClr w14:val="tx1"/>
            </w14:solidFill>
          </w14:textFill>
        </w:rPr>
        <w:t>19</w:t>
      </w:r>
      <w:r>
        <w:rPr>
          <w:rFonts w:hint="eastAsia"/>
          <w:color w:val="000000" w:themeColor="text1"/>
          <w:sz w:val="28"/>
          <w:szCs w:val="28"/>
          <w14:textFill>
            <w14:solidFill>
              <w14:schemeClr w14:val="tx1"/>
            </w14:solidFill>
          </w14:textFill>
        </w:rPr>
        <w:t>。</w:t>
      </w:r>
    </w:p>
    <w:p w14:paraId="6F1F65B4">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853" w:name="_Toc313453631"/>
      <w:bookmarkStart w:id="854" w:name="_Toc23738"/>
      <w:bookmarkStart w:id="855" w:name="_Toc14350"/>
      <w:bookmarkStart w:id="856" w:name="_Toc31614"/>
      <w:bookmarkStart w:id="857" w:name="_Toc17588"/>
      <w:bookmarkStart w:id="858" w:name="_Toc335926318"/>
      <w:bookmarkStart w:id="859" w:name="_Toc9985"/>
      <w:r>
        <w:rPr>
          <w:rFonts w:hint="default" w:ascii="Times New Roman" w:hAnsi="Times New Roman" w:eastAsia="楷体" w:cs="Times New Roman"/>
          <w:color w:val="000000" w:themeColor="text1"/>
          <w14:textFill>
            <w14:solidFill>
              <w14:schemeClr w14:val="tx1"/>
            </w14:solidFill>
          </w14:textFill>
        </w:rPr>
        <w:t>6.2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安全技术对策措施</w:t>
      </w:r>
      <w:bookmarkEnd w:id="853"/>
      <w:r>
        <w:rPr>
          <w:rFonts w:hint="default" w:ascii="Times New Roman" w:hAnsi="Times New Roman" w:eastAsia="楷体" w:cs="Times New Roman"/>
          <w:color w:val="000000" w:themeColor="text1"/>
          <w14:textFill>
            <w14:solidFill>
              <w14:schemeClr w14:val="tx1"/>
            </w14:solidFill>
          </w14:textFill>
        </w:rPr>
        <w:t>建议</w:t>
      </w:r>
      <w:bookmarkEnd w:id="854"/>
      <w:bookmarkEnd w:id="855"/>
      <w:bookmarkEnd w:id="856"/>
      <w:bookmarkEnd w:id="857"/>
      <w:bookmarkEnd w:id="858"/>
      <w:bookmarkEnd w:id="859"/>
    </w:p>
    <w:p w14:paraId="4C3122BD">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lang w:val="en-US" w:eastAsia="zh-CN" w:bidi="ar-SA"/>
          <w14:textFill>
            <w14:solidFill>
              <w14:schemeClr w14:val="tx1"/>
            </w14:solidFill>
          </w14:textFill>
        </w:rPr>
        <w:t>1．</w:t>
      </w:r>
      <w:r>
        <w:rPr>
          <w:rFonts w:hint="default" w:ascii="Times New Roman" w:hAnsi="Times New Roman" w:cs="Times New Roman"/>
          <w:color w:val="000000" w:themeColor="text1"/>
          <w:sz w:val="28"/>
          <w:szCs w:val="28"/>
          <w14:textFill>
            <w14:solidFill>
              <w14:schemeClr w14:val="tx1"/>
            </w14:solidFill>
          </w14:textFill>
        </w:rPr>
        <w:t>应根据各作业岗位的危险性配置完善相应的应急器材、药品和个人防护用品。</w:t>
      </w:r>
    </w:p>
    <w:p w14:paraId="01C6EAED">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lang w:val="en-US" w:eastAsia="zh-CN" w:bidi="ar-SA"/>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企业应根据国家相关法规、规范要求并结合自身实际情况制定完善安全生产责任制（应包括各部门和各级人员）；制定完善安全管理制度（安全奖惩考核制度、检维修制度等）及</w:t>
      </w:r>
      <w:r>
        <w:rPr>
          <w:rFonts w:hint="default" w:ascii="Times New Roman" w:hAnsi="Times New Roman" w:cs="Times New Roman"/>
          <w:color w:val="000000" w:themeColor="text1"/>
          <w:sz w:val="28"/>
          <w:szCs w:val="28"/>
          <w:lang w:eastAsia="zh-CN"/>
          <w14:textFill>
            <w14:solidFill>
              <w14:schemeClr w14:val="tx1"/>
            </w14:solidFill>
          </w14:textFill>
        </w:rPr>
        <w:t>台账</w:t>
      </w:r>
      <w:r>
        <w:rPr>
          <w:rFonts w:hint="default" w:ascii="Times New Roman" w:hAnsi="Times New Roman" w:cs="Times New Roman"/>
          <w:color w:val="000000" w:themeColor="text1"/>
          <w:sz w:val="28"/>
          <w:szCs w:val="28"/>
          <w14:textFill>
            <w14:solidFill>
              <w14:schemeClr w14:val="tx1"/>
            </w14:solidFill>
          </w14:textFill>
        </w:rPr>
        <w:t>记录。</w:t>
      </w:r>
    </w:p>
    <w:p w14:paraId="412CCC86">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lang w:val="en-US" w:eastAsia="zh-CN" w:bidi="ar-SA"/>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企业应根据《生产经营单位生产安全事故应急预案编制导则》（GB/T29639-2020）</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《生产安全事故应急预案管理办法》（国家安全生产监督管理总局令第88号，应急管理部第2号修改，2019年9月1日起实施）的要求，定期组织企业相关人员进行应急演练，对演练</w:t>
      </w:r>
      <w:r>
        <w:rPr>
          <w:rFonts w:hint="default" w:ascii="Times New Roman" w:hAnsi="Times New Roman" w:cs="Times New Roman"/>
          <w:color w:val="000000" w:themeColor="text1"/>
          <w:sz w:val="28"/>
          <w:szCs w:val="28"/>
          <w:lang w:eastAsia="zh-CN"/>
          <w14:textFill>
            <w14:solidFill>
              <w14:schemeClr w14:val="tx1"/>
            </w14:solidFill>
          </w14:textFill>
        </w:rPr>
        <w:t>效</w:t>
      </w:r>
      <w:r>
        <w:rPr>
          <w:rFonts w:hint="default" w:ascii="Times New Roman" w:hAnsi="Times New Roman" w:cs="Times New Roman"/>
          <w:color w:val="000000" w:themeColor="text1"/>
          <w:sz w:val="28"/>
          <w:szCs w:val="28"/>
          <w14:textFill>
            <w14:solidFill>
              <w14:schemeClr w14:val="tx1"/>
            </w14:solidFill>
          </w14:textFill>
        </w:rPr>
        <w:t>果进行评估，对评估存在的问题及时修订。</w:t>
      </w:r>
    </w:p>
    <w:p w14:paraId="4B42240B">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lang w:val="en-US" w:eastAsia="zh-CN" w:bidi="ar-SA"/>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制定、完善和严格执行设备检修管理制度、供配电管理制度、各岗位安全操作规程，严防检修过程安全生产事故发生。</w:t>
      </w:r>
    </w:p>
    <w:p w14:paraId="6F7C3F29">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lang w:val="en-US" w:eastAsia="zh-CN" w:bidi="ar-SA"/>
          <w14:textFill>
            <w14:solidFill>
              <w14:schemeClr w14:val="tx1"/>
            </w14:solidFill>
          </w14:textFill>
        </w:rPr>
        <w:t>5．</w:t>
      </w:r>
      <w:r>
        <w:rPr>
          <w:rFonts w:hint="default" w:ascii="Times New Roman" w:hAnsi="Times New Roman" w:cs="Times New Roman"/>
          <w:color w:val="000000" w:themeColor="text1"/>
          <w:sz w:val="28"/>
          <w:szCs w:val="28"/>
          <w14:textFill>
            <w14:solidFill>
              <w14:schemeClr w14:val="tx1"/>
            </w14:solidFill>
          </w14:textFill>
        </w:rPr>
        <w:t>加强设备管理和维护检修工作，消除设备缺陷和隐患，对设备隐患一定要及时处理，提出相应的整改措施，并监督落实，认真进行设备检修及事故隐患整改记录，杜绝设备的带病运转现象，为安全生产提供坚实的物质保障。</w:t>
      </w:r>
    </w:p>
    <w:p w14:paraId="0F42E42B">
      <w:pPr>
        <w:keepNext w:val="0"/>
        <w:keepLines w:val="0"/>
        <w:pageBreakBefore w:val="0"/>
        <w:widowControl w:val="0"/>
        <w:tabs>
          <w:tab w:val="left" w:pos="993"/>
        </w:tabs>
        <w:kinsoku/>
        <w:wordWrap/>
        <w:overflowPunct/>
        <w:topLinePunct w:val="0"/>
        <w:autoSpaceDE/>
        <w:autoSpaceDN/>
        <w:bidi w:val="0"/>
        <w:adjustRightInd/>
        <w:snapToGrid/>
        <w:spacing w:line="520" w:lineRule="exact"/>
        <w:ind w:left="120" w:leftChars="5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（1）根据设备检修项目要求，在检修前制定设备检修方案，落实检修人员、检修组织、安全措施；</w:t>
      </w:r>
    </w:p>
    <w:p w14:paraId="183AD1D8">
      <w:pPr>
        <w:keepNext w:val="0"/>
        <w:keepLines w:val="0"/>
        <w:pageBreakBefore w:val="0"/>
        <w:widowControl w:val="0"/>
        <w:tabs>
          <w:tab w:val="left" w:pos="630"/>
          <w:tab w:val="left" w:pos="993"/>
        </w:tabs>
        <w:kinsoku/>
        <w:wordWrap/>
        <w:overflowPunct/>
        <w:topLinePunct w:val="0"/>
        <w:autoSpaceDE/>
        <w:autoSpaceDN/>
        <w:bidi w:val="0"/>
        <w:adjustRightInd/>
        <w:snapToGrid/>
        <w:spacing w:line="520" w:lineRule="exact"/>
        <w:ind w:left="120" w:leftChars="5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（2）设备检修如须高处作业、动火、动土、断路、吊装、进入设备内作业等应严格执行国家相关规范及厂内相关规定；</w:t>
      </w:r>
    </w:p>
    <w:p w14:paraId="5FBF2511">
      <w:pPr>
        <w:keepNext w:val="0"/>
        <w:keepLines w:val="0"/>
        <w:pageBreakBefore w:val="0"/>
        <w:widowControl w:val="0"/>
        <w:tabs>
          <w:tab w:val="left" w:pos="630"/>
          <w:tab w:val="left" w:pos="993"/>
        </w:tabs>
        <w:kinsoku/>
        <w:wordWrap/>
        <w:overflowPunct/>
        <w:topLinePunct w:val="0"/>
        <w:autoSpaceDE/>
        <w:autoSpaceDN/>
        <w:bidi w:val="0"/>
        <w:adjustRightInd/>
        <w:snapToGrid/>
        <w:spacing w:line="520" w:lineRule="exact"/>
        <w:ind w:left="120" w:leftChars="5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）电气设备检修作业须遵守电气安全工作规定，由具有相关电工作业资质人员担任；</w:t>
      </w:r>
    </w:p>
    <w:p w14:paraId="7F88C411">
      <w:pPr>
        <w:keepNext w:val="0"/>
        <w:keepLines w:val="0"/>
        <w:pageBreakBefore w:val="0"/>
        <w:widowControl w:val="0"/>
        <w:tabs>
          <w:tab w:val="left" w:pos="630"/>
          <w:tab w:val="left" w:pos="993"/>
        </w:tabs>
        <w:kinsoku/>
        <w:wordWrap/>
        <w:overflowPunct/>
        <w:topLinePunct w:val="0"/>
        <w:autoSpaceDE/>
        <w:autoSpaceDN/>
        <w:bidi w:val="0"/>
        <w:adjustRightInd/>
        <w:snapToGrid/>
        <w:spacing w:line="520" w:lineRule="exact"/>
        <w:ind w:left="120" w:leftChars="5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）检修完成应将检修需要而拆移的盖板、篦子板、扶手、栏杆、防护罩等安全设施要恢复正常；</w:t>
      </w:r>
    </w:p>
    <w:p w14:paraId="380020AE">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lang w:val="en-US" w:eastAsia="zh-CN" w:bidi="ar-SA"/>
          <w14:textFill>
            <w14:solidFill>
              <w14:schemeClr w14:val="tx1"/>
            </w14:solidFill>
          </w14:textFill>
        </w:rPr>
        <w:t>6．</w:t>
      </w:r>
      <w:r>
        <w:rPr>
          <w:rFonts w:hint="default" w:ascii="Times New Roman" w:hAnsi="Times New Roman" w:cs="Times New Roman"/>
          <w:color w:val="000000" w:themeColor="text1"/>
          <w:sz w:val="28"/>
          <w:szCs w:val="28"/>
          <w14:textFill>
            <w14:solidFill>
              <w14:schemeClr w14:val="tx1"/>
            </w14:solidFill>
          </w14:textFill>
        </w:rPr>
        <w:t>企业应按规范要求完善消防设施的配置，指定专人负责消防器材的定期检查保养工作，确保消防器材处于完好有效的状态；</w:t>
      </w:r>
    </w:p>
    <w:p w14:paraId="53414F59">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lang w:val="en-US" w:eastAsia="zh-CN" w:bidi="ar-SA"/>
          <w14:textFill>
            <w14:solidFill>
              <w14:schemeClr w14:val="tx1"/>
            </w14:solidFill>
          </w14:textFill>
        </w:rPr>
        <w:t>7．</w:t>
      </w:r>
      <w:r>
        <w:rPr>
          <w:rFonts w:hint="default" w:ascii="Times New Roman" w:hAnsi="Times New Roman" w:cs="Times New Roman"/>
          <w:color w:val="000000" w:themeColor="text1"/>
          <w:sz w:val="28"/>
          <w:szCs w:val="28"/>
          <w14:textFill>
            <w14:solidFill>
              <w14:schemeClr w14:val="tx1"/>
            </w14:solidFill>
          </w14:textFill>
        </w:rPr>
        <w:t>消防器材应当设置在明显和便于取用的地方，任何人不得随便移动，不得上锁，不得受阳光</w:t>
      </w:r>
      <w:r>
        <w:rPr>
          <w:rFonts w:hint="default" w:ascii="Times New Roman" w:hAnsi="Times New Roman" w:cs="Times New Roman"/>
          <w:color w:val="000000" w:themeColor="text1"/>
          <w:sz w:val="28"/>
          <w:szCs w:val="28"/>
          <w:lang w:eastAsia="zh-CN"/>
          <w14:textFill>
            <w14:solidFill>
              <w14:schemeClr w14:val="tx1"/>
            </w14:solidFill>
          </w14:textFill>
        </w:rPr>
        <w:t>暴晒</w:t>
      </w:r>
      <w:r>
        <w:rPr>
          <w:rFonts w:hint="default" w:ascii="Times New Roman" w:hAnsi="Times New Roman" w:cs="Times New Roman"/>
          <w:color w:val="000000" w:themeColor="text1"/>
          <w:sz w:val="28"/>
          <w:szCs w:val="28"/>
          <w14:textFill>
            <w14:solidFill>
              <w14:schemeClr w14:val="tx1"/>
            </w14:solidFill>
          </w14:textFill>
        </w:rPr>
        <w:t>、火烤、雨淋，一经使用，应立即更换，不得空置或随意丢弃；</w:t>
      </w:r>
    </w:p>
    <w:p w14:paraId="759A4553">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eastAsia="宋体" w:cs="Times New Roman"/>
          <w:color w:val="000000" w:themeColor="text1"/>
          <w:sz w:val="28"/>
          <w:lang w:val="en-US" w:eastAsia="zh-CN" w:bidi="ar-SA"/>
          <w14:textFill>
            <w14:solidFill>
              <w14:schemeClr w14:val="tx1"/>
            </w14:solidFill>
          </w14:textFill>
        </w:rPr>
        <w:t>8．</w:t>
      </w:r>
      <w:r>
        <w:rPr>
          <w:rFonts w:hint="default" w:ascii="Times New Roman" w:hAnsi="Times New Roman" w:cs="Times New Roman"/>
          <w:color w:val="000000" w:themeColor="text1"/>
          <w:sz w:val="28"/>
          <w14:textFill>
            <w14:solidFill>
              <w14:schemeClr w14:val="tx1"/>
            </w14:solidFill>
          </w14:textFill>
        </w:rPr>
        <w:t>电气设备可能被人触及的裸露带电部分，必须设置保护罩或遮栏及警示标志。</w:t>
      </w:r>
    </w:p>
    <w:p w14:paraId="01853802">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eastAsia="宋体" w:cs="Times New Roman"/>
          <w:color w:val="000000" w:themeColor="text1"/>
          <w:sz w:val="28"/>
          <w:szCs w:val="28"/>
          <w:lang w:val="en-US" w:eastAsia="zh-CN" w:bidi="ar-SA"/>
          <w14:textFill>
            <w14:solidFill>
              <w14:schemeClr w14:val="tx1"/>
            </w14:solidFill>
          </w14:textFill>
        </w:rPr>
        <w:t>9．</w:t>
      </w:r>
      <w:r>
        <w:rPr>
          <w:rFonts w:hint="default" w:ascii="Times New Roman" w:hAnsi="Times New Roman" w:cs="Times New Roman"/>
          <w:color w:val="000000" w:themeColor="text1"/>
          <w:sz w:val="28"/>
          <w14:textFill>
            <w14:solidFill>
              <w14:schemeClr w14:val="tx1"/>
            </w14:solidFill>
          </w14:textFill>
        </w:rPr>
        <w:t>电气设备和装置的金属框架或外壳等，应按有关规定进行保护接地，在电机配出回路中设漏电保护装置。</w:t>
      </w:r>
    </w:p>
    <w:p w14:paraId="3889E282">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Times New Roman" w:cs="Times New Roman"/>
          <w:color w:val="000000" w:themeColor="text1"/>
          <w:sz w:val="28"/>
          <w:lang w:val="en-US" w:eastAsia="zh-CN"/>
          <w14:textFill>
            <w14:solidFill>
              <w14:schemeClr w14:val="tx1"/>
            </w14:solidFill>
          </w14:textFill>
        </w:rPr>
      </w:pPr>
      <w:r>
        <w:rPr>
          <w:rFonts w:hint="eastAsia" w:ascii="Times New Roman" w:cs="Times New Roman"/>
          <w:color w:val="000000" w:themeColor="text1"/>
          <w:sz w:val="28"/>
          <w:lang w:val="en-US" w:eastAsia="zh-CN"/>
          <w14:textFill>
            <w14:solidFill>
              <w14:schemeClr w14:val="tx1"/>
            </w14:solidFill>
          </w14:textFill>
        </w:rPr>
        <w:t>10.特种设备、绝缘器具、压力容器及其安全附件，应定期检定。</w:t>
      </w:r>
    </w:p>
    <w:p w14:paraId="7B65860A">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Times New Roman" w:cs="Times New Roman"/>
          <w:color w:val="000000" w:themeColor="text1"/>
          <w:sz w:val="28"/>
          <w:lang w:val="en-US" w:eastAsia="zh-CN"/>
          <w14:textFill>
            <w14:solidFill>
              <w14:schemeClr w14:val="tx1"/>
            </w14:solidFill>
          </w14:textFill>
        </w:rPr>
      </w:pPr>
      <w:r>
        <w:rPr>
          <w:rFonts w:hint="eastAsia" w:ascii="Times New Roman" w:cs="Times New Roman"/>
          <w:color w:val="000000" w:themeColor="text1"/>
          <w:sz w:val="28"/>
          <w:lang w:val="en-US" w:eastAsia="zh-CN"/>
          <w14:textFill>
            <w14:solidFill>
              <w14:schemeClr w14:val="tx1"/>
            </w14:solidFill>
          </w14:textFill>
        </w:rPr>
        <w:t>11.遂道窑顶部应安设固定式或便携式CO监测报警装置。</w:t>
      </w:r>
    </w:p>
    <w:p w14:paraId="1810B5F7">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cs="Times New Roman"/>
          <w:color w:val="000000" w:themeColor="text1"/>
          <w:sz w:val="28"/>
          <w:lang w:val="en-US" w:eastAsia="zh-CN"/>
          <w14:textFill>
            <w14:solidFill>
              <w14:schemeClr w14:val="tx1"/>
            </w14:solidFill>
          </w14:textFill>
        </w:rPr>
      </w:pPr>
      <w:r>
        <w:rPr>
          <w:rFonts w:hint="eastAsia" w:ascii="Times New Roman" w:cs="Times New Roman"/>
          <w:color w:val="000000" w:themeColor="text1"/>
          <w:sz w:val="28"/>
          <w:lang w:val="en-US" w:eastAsia="zh-CN"/>
          <w14:textFill>
            <w14:solidFill>
              <w14:schemeClr w14:val="tx1"/>
            </w14:solidFill>
          </w14:textFill>
        </w:rPr>
        <w:t>12.进入遂道窑、脱硫塔、循环水池、化粪池等有限空间进行作业时，必须严格执行有限空间作业安全操作规程，严格执行审批制度，监护到位。</w:t>
      </w:r>
    </w:p>
    <w:p w14:paraId="5D81D69B">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860" w:name="_Toc313453634"/>
      <w:bookmarkStart w:id="861" w:name="_Toc8580"/>
      <w:bookmarkStart w:id="862" w:name="_Toc6881"/>
      <w:bookmarkStart w:id="863" w:name="_Toc10955"/>
      <w:bookmarkStart w:id="864" w:name="_Toc10362"/>
      <w:bookmarkStart w:id="865" w:name="_Toc29652"/>
      <w:bookmarkStart w:id="866" w:name="_Toc335926319"/>
      <w:r>
        <w:rPr>
          <w:rFonts w:hint="default" w:ascii="Times New Roman" w:hAnsi="Times New Roman" w:eastAsia="楷体" w:cs="Times New Roman"/>
          <w:color w:val="000000" w:themeColor="text1"/>
          <w14:textFill>
            <w14:solidFill>
              <w14:schemeClr w14:val="tx1"/>
            </w14:solidFill>
          </w14:textFill>
        </w:rPr>
        <w:t>6.3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安全生产管理</w:t>
      </w:r>
      <w:bookmarkEnd w:id="860"/>
      <w:r>
        <w:rPr>
          <w:rFonts w:hint="default" w:ascii="Times New Roman" w:hAnsi="Times New Roman" w:eastAsia="楷体" w:cs="Times New Roman"/>
          <w:color w:val="000000" w:themeColor="text1"/>
          <w14:textFill>
            <w14:solidFill>
              <w14:schemeClr w14:val="tx1"/>
            </w14:solidFill>
          </w14:textFill>
        </w:rPr>
        <w:t>建议</w:t>
      </w:r>
      <w:bookmarkEnd w:id="861"/>
      <w:bookmarkEnd w:id="862"/>
      <w:bookmarkEnd w:id="863"/>
      <w:bookmarkEnd w:id="864"/>
      <w:bookmarkEnd w:id="865"/>
      <w:bookmarkEnd w:id="866"/>
    </w:p>
    <w:p w14:paraId="6DFFFAAD">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eastAsia="宋体" w:cs="Times New Roman"/>
          <w:color w:val="000000" w:themeColor="text1"/>
          <w:sz w:val="28"/>
          <w:szCs w:val="22"/>
          <w:lang w:val="en-US" w:eastAsia="zh-CN" w:bidi="ar-SA"/>
          <w14:textFill>
            <w14:solidFill>
              <w14:schemeClr w14:val="tx1"/>
            </w14:solidFill>
          </w14:textFill>
        </w:rPr>
        <w:t>1．</w:t>
      </w:r>
      <w:r>
        <w:rPr>
          <w:rFonts w:hint="default" w:ascii="Times New Roman" w:hAnsi="Times New Roman" w:cs="Times New Roman"/>
          <w:color w:val="000000" w:themeColor="text1"/>
          <w:sz w:val="28"/>
          <w:szCs w:val="22"/>
          <w14:textFill>
            <w14:solidFill>
              <w14:schemeClr w14:val="tx1"/>
            </w14:solidFill>
          </w14:textFill>
        </w:rPr>
        <w:t>应根据《国务院关于进一步加强企业安全生产工作的通知》（国发〔2010〕23号）的要求，全面加强企业安全管理，健全规章制度，完善安全标准，提高企业技术水平，夯实安全生产基础；坚持依法依规进行生产。注意做到以下几点：</w:t>
      </w:r>
    </w:p>
    <w:p w14:paraId="0AD16A85">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（1）进一步规范企业生产经营行为。企业要健全完善严格的安全生产规章制度，坚持不安全不生产。加强对生产现场监督检查，严格查处违章指挥、违规作业、违反劳动纪律的“三违”行为。</w:t>
      </w:r>
    </w:p>
    <w:p w14:paraId="290F1688">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及时排查治理安全隐患。企业要经常性开展安全隐患排查，并切实做到整改措施、责任、资金、时限和预案“五到位”。建立以安全生产专业人员为主导的隐患整改效果评价制度，确保整改到位。对隐患整改不力造成事故的，要依法追究企业和企业相关负责人的责任。对停产整改逾期未完成的不得复产。</w:t>
      </w:r>
    </w:p>
    <w:p w14:paraId="4ECBE53E">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（3）强化职工安全培训。企业主要负责人和安全生产管理人员、特</w:t>
      </w:r>
      <w:r>
        <w:rPr>
          <w:rFonts w:hint="eastAsia" w:ascii="Times New Roman" w:cs="Times New Roman"/>
          <w:color w:val="000000" w:themeColor="text1"/>
          <w:sz w:val="28"/>
          <w:szCs w:val="28"/>
          <w:lang w:val="en-US" w:eastAsia="zh-CN"/>
          <w14:textFill>
            <w14:solidFill>
              <w14:schemeClr w14:val="tx1"/>
            </w14:solidFill>
          </w14:textFill>
        </w:rPr>
        <w:t>种作业人员</w:t>
      </w:r>
      <w:r>
        <w:rPr>
          <w:rFonts w:hint="default" w:ascii="Times New Roman" w:hAnsi="Times New Roman" w:cs="Times New Roman"/>
          <w:color w:val="000000" w:themeColor="text1"/>
          <w:sz w:val="28"/>
          <w:szCs w:val="28"/>
          <w14:textFill>
            <w14:solidFill>
              <w14:schemeClr w14:val="tx1"/>
            </w14:solidFill>
          </w14:textFill>
        </w:rPr>
        <w:t>一律严格考核，按国家有关规定持职业资格证书上岗；职工必须全部经过培训合格后上岗。企业用工要严格依照劳动合同法与职工签订劳动合同。</w:t>
      </w:r>
    </w:p>
    <w:p w14:paraId="4C6CDAC0">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（4）加强企业生产技术管理。强化企业技术管理机构的安全职能，按规定配备安全技术人员，切实落实企业负责人安全生产技术管理负责制，强化企业主要技术负责人技术决策和指挥权。</w:t>
      </w:r>
    </w:p>
    <w:p w14:paraId="5FAC1E23">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（5）强制推行先进适用的技术装备，积极推进信息化建设，努力提高企业安全防护水平。</w:t>
      </w:r>
    </w:p>
    <w:p w14:paraId="6B2AF953">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（6）加快安全生产技术研发。企业在年度财务预算中必须确定必要的安全投入。</w:t>
      </w:r>
    </w:p>
    <w:p w14:paraId="03979794">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default" w:ascii="Times New Roman" w:hAnsi="Times New Roman" w:cs="Times New Roman" w:eastAsiaTheme="minorEastAsia"/>
          <w:color w:val="000000" w:themeColor="text1"/>
          <w:sz w:val="28"/>
          <w:szCs w:val="22"/>
          <w14:textFill>
            <w14:solidFill>
              <w14:schemeClr w14:val="tx1"/>
            </w14:solidFill>
          </w14:textFill>
        </w:rPr>
      </w:pPr>
      <w:r>
        <w:rPr>
          <w:rFonts w:hint="default" w:ascii="Times New Roman" w:hAnsi="Times New Roman" w:cs="Times New Roman" w:eastAsiaTheme="minorEastAsia"/>
          <w:color w:val="000000" w:themeColor="text1"/>
          <w:sz w:val="28"/>
          <w:szCs w:val="22"/>
          <w:lang w:val="en-US" w:eastAsia="zh-CN" w:bidi="ar-SA"/>
          <w14:textFill>
            <w14:solidFill>
              <w14:schemeClr w14:val="tx1"/>
            </w14:solidFill>
          </w14:textFill>
        </w:rPr>
        <w:t>2．</w:t>
      </w:r>
      <w:r>
        <w:rPr>
          <w:rFonts w:hint="default" w:ascii="Times New Roman" w:hAnsi="Times New Roman" w:cs="Times New Roman" w:eastAsiaTheme="minorEastAsia"/>
          <w:color w:val="000000" w:themeColor="text1"/>
          <w:sz w:val="28"/>
          <w:szCs w:val="22"/>
          <w14:textFill>
            <w14:solidFill>
              <w14:schemeClr w14:val="tx1"/>
            </w14:solidFill>
          </w14:textFill>
        </w:rPr>
        <w:t>公司领导及安全管理人员应不断提高自身的综合安全管理水平，并应取得相应的安全资格证书；加强对在职职工及新进人员的安全教育工作，进行风险预警和告知，教育员工树立“安全第一，预防为主，综合治理”的思想，提高全体员工的安全意识和自我保护能力；并做好日常的安全教育培训记录；严禁违章作业、违章指挥；安全管理人员及特种设备作业人员应全员参加培训，经考核合格后，持证上岗。</w:t>
      </w:r>
    </w:p>
    <w:p w14:paraId="684F54D7">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default" w:ascii="Times New Roman" w:hAnsi="Times New Roman" w:cs="Times New Roman" w:eastAsiaTheme="minorEastAsia"/>
          <w:color w:val="000000" w:themeColor="text1"/>
          <w:sz w:val="28"/>
          <w:szCs w:val="22"/>
          <w14:textFill>
            <w14:solidFill>
              <w14:schemeClr w14:val="tx1"/>
            </w14:solidFill>
          </w14:textFill>
        </w:rPr>
      </w:pPr>
      <w:r>
        <w:rPr>
          <w:rFonts w:hint="default" w:ascii="Times New Roman" w:hAnsi="Times New Roman" w:cs="Times New Roman" w:eastAsiaTheme="minorEastAsia"/>
          <w:color w:val="000000" w:themeColor="text1"/>
          <w:sz w:val="28"/>
          <w:szCs w:val="22"/>
          <w:lang w:val="en-US" w:eastAsia="zh-CN" w:bidi="ar-SA"/>
          <w14:textFill>
            <w14:solidFill>
              <w14:schemeClr w14:val="tx1"/>
            </w14:solidFill>
          </w14:textFill>
        </w:rPr>
        <w:t>3．</w:t>
      </w:r>
      <w:r>
        <w:rPr>
          <w:rFonts w:hint="default" w:ascii="Times New Roman" w:hAnsi="Times New Roman" w:cs="Times New Roman" w:eastAsiaTheme="minorEastAsia"/>
          <w:color w:val="000000" w:themeColor="text1"/>
          <w:sz w:val="28"/>
          <w:szCs w:val="22"/>
          <w14:textFill>
            <w14:solidFill>
              <w14:schemeClr w14:val="tx1"/>
            </w14:solidFill>
          </w14:textFill>
        </w:rPr>
        <w:t>加强操作人员的职业技能培训，提高人员的安全操作技能；加强生产过程中的各个环节的安全管理，操作人员要严格按照操作规程进行操作，严禁违规操作。</w:t>
      </w:r>
    </w:p>
    <w:p w14:paraId="1D0642D0">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default" w:ascii="Times New Roman" w:hAnsi="Times New Roman" w:cs="Times New Roman" w:eastAsiaTheme="minorEastAsia"/>
          <w:color w:val="000000" w:themeColor="text1"/>
          <w:sz w:val="28"/>
          <w:szCs w:val="22"/>
          <w14:textFill>
            <w14:solidFill>
              <w14:schemeClr w14:val="tx1"/>
            </w14:solidFill>
          </w14:textFill>
        </w:rPr>
      </w:pPr>
      <w:r>
        <w:rPr>
          <w:rFonts w:hint="default" w:ascii="Times New Roman" w:hAnsi="Times New Roman" w:cs="Times New Roman" w:eastAsiaTheme="minorEastAsia"/>
          <w:color w:val="000000" w:themeColor="text1"/>
          <w:sz w:val="28"/>
          <w:szCs w:val="22"/>
          <w:lang w:val="en-US" w:eastAsia="zh-CN" w:bidi="ar-SA"/>
          <w14:textFill>
            <w14:solidFill>
              <w14:schemeClr w14:val="tx1"/>
            </w14:solidFill>
          </w14:textFill>
        </w:rPr>
        <w:t>4．</w:t>
      </w:r>
      <w:r>
        <w:rPr>
          <w:rFonts w:hint="default" w:ascii="Times New Roman" w:hAnsi="Times New Roman" w:cs="Times New Roman" w:eastAsiaTheme="minorEastAsia"/>
          <w:color w:val="000000" w:themeColor="text1"/>
          <w:sz w:val="28"/>
          <w:szCs w:val="22"/>
          <w14:textFill>
            <w14:solidFill>
              <w14:schemeClr w14:val="tx1"/>
            </w14:solidFill>
          </w14:textFill>
        </w:rPr>
        <w:t>根据生产的实际情况，不断完善安全生产管理规章制度；完善生产、检修等作业的安全操作规程；做好安全</w:t>
      </w:r>
      <w:r>
        <w:rPr>
          <w:rFonts w:hint="default" w:ascii="Times New Roman" w:hAnsi="Times New Roman" w:cs="Times New Roman" w:eastAsiaTheme="minorEastAsia"/>
          <w:color w:val="000000" w:themeColor="text1"/>
          <w:sz w:val="28"/>
          <w:szCs w:val="22"/>
          <w:lang w:eastAsia="zh-CN"/>
          <w14:textFill>
            <w14:solidFill>
              <w14:schemeClr w14:val="tx1"/>
            </w14:solidFill>
          </w14:textFill>
        </w:rPr>
        <w:t>管理台账</w:t>
      </w:r>
      <w:r>
        <w:rPr>
          <w:rFonts w:hint="default" w:ascii="Times New Roman" w:hAnsi="Times New Roman" w:cs="Times New Roman" w:eastAsiaTheme="minorEastAsia"/>
          <w:color w:val="000000" w:themeColor="text1"/>
          <w:sz w:val="28"/>
          <w:szCs w:val="22"/>
          <w14:textFill>
            <w14:solidFill>
              <w14:schemeClr w14:val="tx1"/>
            </w14:solidFill>
          </w14:textFill>
        </w:rPr>
        <w:t>的记录。</w:t>
      </w:r>
    </w:p>
    <w:p w14:paraId="2C98AB70">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default" w:ascii="Times New Roman" w:hAnsi="Times New Roman" w:cs="Times New Roman" w:eastAsiaTheme="minorEastAsia"/>
          <w:color w:val="000000" w:themeColor="text1"/>
          <w:sz w:val="28"/>
          <w:szCs w:val="22"/>
          <w14:textFill>
            <w14:solidFill>
              <w14:schemeClr w14:val="tx1"/>
            </w14:solidFill>
          </w14:textFill>
        </w:rPr>
      </w:pPr>
      <w:r>
        <w:rPr>
          <w:rFonts w:hint="default" w:ascii="Times New Roman" w:hAnsi="Times New Roman" w:cs="Times New Roman" w:eastAsiaTheme="minorEastAsia"/>
          <w:color w:val="000000" w:themeColor="text1"/>
          <w:sz w:val="28"/>
          <w:szCs w:val="22"/>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sz w:val="28"/>
          <w:szCs w:val="22"/>
          <w14:textFill>
            <w14:solidFill>
              <w14:schemeClr w14:val="tx1"/>
            </w14:solidFill>
          </w14:textFill>
        </w:rPr>
        <w:t>针对厂内检修过程可能出现的事故特点，制定并不断完善设备检修管理制度，并严格监督执行。</w:t>
      </w:r>
    </w:p>
    <w:p w14:paraId="6E5CBF4B">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6．</w:t>
      </w:r>
      <w:r>
        <w:rPr>
          <w:rFonts w:hint="eastAsia" w:ascii="宋体" w:hAnsi="宋体" w:eastAsia="宋体" w:cs="宋体"/>
          <w:color w:val="000000" w:themeColor="text1"/>
          <w:sz w:val="28"/>
          <w:szCs w:val="22"/>
          <w14:textFill>
            <w14:solidFill>
              <w14:schemeClr w14:val="tx1"/>
            </w14:solidFill>
          </w14:textFill>
        </w:rPr>
        <w:t>每天定人定时对各生产区域进行安全检查（特别是危险场所），加强对工艺设备、输送管道的管理，及时维修、更换受损、老化的设备及管线；定期检查安全设施设备的有效性。</w:t>
      </w:r>
    </w:p>
    <w:p w14:paraId="004983EA">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lang w:eastAsia="zh-CN"/>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7．</w:t>
      </w:r>
      <w:r>
        <w:rPr>
          <w:rFonts w:hint="eastAsia" w:ascii="宋体" w:hAnsi="宋体" w:eastAsia="宋体" w:cs="宋体"/>
          <w:color w:val="000000" w:themeColor="text1"/>
          <w:sz w:val="28"/>
          <w:szCs w:val="22"/>
          <w14:textFill>
            <w14:solidFill>
              <w14:schemeClr w14:val="tx1"/>
            </w14:solidFill>
          </w14:textFill>
        </w:rPr>
        <w:t>企业保证每年安全生产所需要的资金投入，使公司具备安全生产条件，安全设施投资应当纳入建设项目概算。安全资金主要用在以下方面</w:t>
      </w:r>
      <w:r>
        <w:rPr>
          <w:rFonts w:hint="eastAsia" w:ascii="宋体" w:hAnsi="宋体" w:eastAsia="宋体" w:cs="宋体"/>
          <w:color w:val="000000" w:themeColor="text1"/>
          <w:sz w:val="28"/>
          <w:szCs w:val="22"/>
          <w:lang w:eastAsia="zh-CN"/>
          <w14:textFill>
            <w14:solidFill>
              <w14:schemeClr w14:val="tx1"/>
            </w14:solidFill>
          </w14:textFill>
        </w:rPr>
        <w:t>：</w:t>
      </w:r>
    </w:p>
    <w:p w14:paraId="68A94918">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eastAsia="zh-CN"/>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1</w:t>
      </w:r>
      <w:r>
        <w:rPr>
          <w:rFonts w:hint="eastAsia" w:ascii="宋体" w:hAnsi="宋体" w:eastAsia="宋体" w:cs="宋体"/>
          <w:color w:val="000000" w:themeColor="text1"/>
          <w:sz w:val="28"/>
          <w:szCs w:val="22"/>
          <w:lang w:eastAsia="zh-CN"/>
          <w14:textFill>
            <w14:solidFill>
              <w14:schemeClr w14:val="tx1"/>
            </w14:solidFill>
          </w14:textFill>
        </w:rPr>
        <w:t>）</w:t>
      </w:r>
      <w:r>
        <w:rPr>
          <w:rFonts w:hint="eastAsia" w:ascii="宋体" w:hAnsi="宋体" w:eastAsia="宋体" w:cs="宋体"/>
          <w:color w:val="000000" w:themeColor="text1"/>
          <w:sz w:val="28"/>
          <w:szCs w:val="22"/>
          <w14:textFill>
            <w14:solidFill>
              <w14:schemeClr w14:val="tx1"/>
            </w14:solidFill>
          </w14:textFill>
        </w:rPr>
        <w:t>购置购建、更新改造、检测检验、检定校准、运行维护安全防护和紧急避险设施、设备支出[不含按照“建设项目安全设施必须与主体工程同时设计、同时施工、同时投入生产和使用”（以下简称“三同时”）规定投入的安全设施、设备]；</w:t>
      </w:r>
    </w:p>
    <w:p w14:paraId="4165FD41">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2</w:t>
      </w:r>
      <w:r>
        <w:rPr>
          <w:rFonts w:hint="eastAsia" w:ascii="宋体" w:hAnsi="宋体" w:eastAsia="宋体" w:cs="宋体"/>
          <w:color w:val="000000" w:themeColor="text1"/>
          <w:sz w:val="28"/>
          <w:szCs w:val="22"/>
          <w14:textFill>
            <w14:solidFill>
              <w14:schemeClr w14:val="tx1"/>
            </w14:solidFill>
          </w14:textFill>
        </w:rPr>
        <w:t>）购置、开发、推广应用、更新升级、运行维护安全生产信息系统、软件、网络安全、技术支出；</w:t>
      </w:r>
    </w:p>
    <w:p w14:paraId="00B170CC">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3</w:t>
      </w:r>
      <w:r>
        <w:rPr>
          <w:rFonts w:hint="eastAsia" w:ascii="宋体" w:hAnsi="宋体" w:eastAsia="宋体" w:cs="宋体"/>
          <w:color w:val="000000" w:themeColor="text1"/>
          <w:sz w:val="28"/>
          <w:szCs w:val="22"/>
          <w14:textFill>
            <w14:solidFill>
              <w14:schemeClr w14:val="tx1"/>
            </w14:solidFill>
          </w14:textFill>
        </w:rPr>
        <w:t>）配备、更新、维护、保养安全防护用品和应急救援器材、设备支出；</w:t>
      </w:r>
    </w:p>
    <w:p w14:paraId="3240EED8">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4</w:t>
      </w:r>
      <w:r>
        <w:rPr>
          <w:rFonts w:hint="eastAsia" w:ascii="宋体" w:hAnsi="宋体" w:eastAsia="宋体" w:cs="宋体"/>
          <w:color w:val="000000" w:themeColor="text1"/>
          <w:sz w:val="28"/>
          <w:szCs w:val="22"/>
          <w14:textFill>
            <w14:solidFill>
              <w14:schemeClr w14:val="tx1"/>
            </w14:solidFill>
          </w14:textFill>
        </w:rPr>
        <w:t>）企业应急救援队伍建设（含建设应急救援队伍所需应急救援物资储备、人员培训等方面）、安全生产宣传教育培训、从业人员发现报告事故隐患的奖励支出；</w:t>
      </w:r>
    </w:p>
    <w:p w14:paraId="001798CF">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5</w:t>
      </w:r>
      <w:r>
        <w:rPr>
          <w:rFonts w:hint="eastAsia" w:ascii="宋体" w:hAnsi="宋体" w:eastAsia="宋体" w:cs="宋体"/>
          <w:color w:val="000000" w:themeColor="text1"/>
          <w:sz w:val="28"/>
          <w:szCs w:val="22"/>
          <w14:textFill>
            <w14:solidFill>
              <w14:schemeClr w14:val="tx1"/>
            </w14:solidFill>
          </w14:textFill>
        </w:rPr>
        <w:t>）安全生产责任保险、承运人责任险等与安全生产直接相关的法定保险支出；</w:t>
      </w:r>
    </w:p>
    <w:p w14:paraId="244DEEFE">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6</w:t>
      </w:r>
      <w:r>
        <w:rPr>
          <w:rFonts w:hint="eastAsia" w:ascii="宋体" w:hAnsi="宋体" w:eastAsia="宋体" w:cs="宋体"/>
          <w:color w:val="000000" w:themeColor="text1"/>
          <w:sz w:val="28"/>
          <w:szCs w:val="22"/>
          <w14:textFill>
            <w14:solidFill>
              <w14:schemeClr w14:val="tx1"/>
            </w14:solidFill>
          </w14:textFill>
        </w:rPr>
        <w:t>）安全生产检查检测、评估评价（不含新建、改建、扩建项目安全评价）、评审、咨询、标准化建设、应急预案制修订、应急演练支出；</w:t>
      </w:r>
    </w:p>
    <w:p w14:paraId="21871981">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snapToGrid w:val="0"/>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7</w:t>
      </w:r>
      <w:r>
        <w:rPr>
          <w:rFonts w:hint="eastAsia" w:ascii="宋体" w:hAnsi="宋体" w:eastAsia="宋体" w:cs="宋体"/>
          <w:color w:val="000000" w:themeColor="text1"/>
          <w:sz w:val="28"/>
          <w:szCs w:val="22"/>
          <w14:textFill>
            <w14:solidFill>
              <w14:schemeClr w14:val="tx1"/>
            </w14:solidFill>
          </w14:textFill>
        </w:rPr>
        <w:t>）与安全生产直接相关的其他支出。</w:t>
      </w:r>
    </w:p>
    <w:p w14:paraId="7815CF0B">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default" w:ascii="Times New Roman" w:hAnsi="Times New Roman" w:cs="Times New Roman" w:eastAsiaTheme="minorEastAsia"/>
          <w:color w:val="000000" w:themeColor="text1"/>
          <w:sz w:val="28"/>
          <w:szCs w:val="22"/>
          <w14:textFill>
            <w14:solidFill>
              <w14:schemeClr w14:val="tx1"/>
            </w14:solidFill>
          </w14:textFill>
        </w:rPr>
      </w:pPr>
      <w:r>
        <w:rPr>
          <w:rFonts w:hint="default" w:ascii="Times New Roman" w:hAnsi="Times New Roman" w:cs="Times New Roman" w:eastAsiaTheme="minorEastAsia"/>
          <w:color w:val="000000" w:themeColor="text1"/>
          <w:sz w:val="28"/>
          <w:szCs w:val="22"/>
          <w:lang w:val="en-US" w:eastAsia="zh-CN" w:bidi="ar-SA"/>
          <w14:textFill>
            <w14:solidFill>
              <w14:schemeClr w14:val="tx1"/>
            </w14:solidFill>
          </w14:textFill>
        </w:rPr>
        <w:t>8．</w:t>
      </w:r>
      <w:r>
        <w:rPr>
          <w:rFonts w:hint="default" w:ascii="Times New Roman" w:hAnsi="Times New Roman" w:cs="Times New Roman" w:eastAsiaTheme="minorEastAsia"/>
          <w:color w:val="000000" w:themeColor="text1"/>
          <w:sz w:val="28"/>
          <w:szCs w:val="22"/>
          <w14:textFill>
            <w14:solidFill>
              <w14:schemeClr w14:val="tx1"/>
            </w14:solidFill>
          </w14:textFill>
        </w:rPr>
        <w:t>定期为作业人员配发合格的劳动防护用品（防噪耳塞、防尘口罩等），并严格监督作业人员的</w:t>
      </w:r>
      <w:r>
        <w:rPr>
          <w:rFonts w:hint="eastAsia" w:ascii="Times New Roman" w:cs="Times New Roman" w:eastAsiaTheme="minorEastAsia"/>
          <w:color w:val="000000" w:themeColor="text1"/>
          <w:sz w:val="28"/>
          <w:szCs w:val="22"/>
          <w:lang w:val="en-US" w:eastAsia="zh-CN"/>
          <w14:textFill>
            <w14:solidFill>
              <w14:schemeClr w14:val="tx1"/>
            </w14:solidFill>
          </w14:textFill>
        </w:rPr>
        <w:t>正确佩戴</w:t>
      </w:r>
      <w:r>
        <w:rPr>
          <w:rFonts w:hint="default" w:ascii="Times New Roman" w:hAnsi="Times New Roman" w:cs="Times New Roman" w:eastAsiaTheme="minorEastAsia"/>
          <w:color w:val="000000" w:themeColor="text1"/>
          <w:sz w:val="28"/>
          <w:szCs w:val="22"/>
          <w14:textFill>
            <w14:solidFill>
              <w14:schemeClr w14:val="tx1"/>
            </w14:solidFill>
          </w14:textFill>
        </w:rPr>
        <w:t>，及时更换失效的劳动防护用品；由于其生产过程中会产生大量的粉尘，因此应保证作业人员的防尘装备有效，并定期对作业人员进行体检。</w:t>
      </w:r>
    </w:p>
    <w:p w14:paraId="7F446D21">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default" w:ascii="Times New Roman" w:hAnsi="Times New Roman" w:cs="Times New Roman" w:eastAsiaTheme="minorEastAsia"/>
          <w:color w:val="000000" w:themeColor="text1"/>
          <w:sz w:val="28"/>
          <w:szCs w:val="22"/>
          <w14:textFill>
            <w14:solidFill>
              <w14:schemeClr w14:val="tx1"/>
            </w14:solidFill>
          </w14:textFill>
        </w:rPr>
      </w:pPr>
      <w:r>
        <w:rPr>
          <w:rFonts w:hint="default" w:ascii="Times New Roman" w:hAnsi="Times New Roman" w:cs="Times New Roman" w:eastAsiaTheme="minorEastAsia"/>
          <w:color w:val="000000" w:themeColor="text1"/>
          <w:sz w:val="28"/>
          <w:szCs w:val="22"/>
          <w:lang w:val="en-US" w:eastAsia="zh-CN" w:bidi="ar-SA"/>
          <w14:textFill>
            <w14:solidFill>
              <w14:schemeClr w14:val="tx1"/>
            </w14:solidFill>
          </w14:textFill>
        </w:rPr>
        <w:t>9．</w:t>
      </w:r>
      <w:r>
        <w:rPr>
          <w:rFonts w:hint="default" w:ascii="Times New Roman" w:hAnsi="Times New Roman" w:cs="Times New Roman" w:eastAsiaTheme="minorEastAsia"/>
          <w:color w:val="000000" w:themeColor="text1"/>
          <w:sz w:val="28"/>
          <w:szCs w:val="22"/>
          <w14:textFill>
            <w14:solidFill>
              <w14:schemeClr w14:val="tx1"/>
            </w14:solidFill>
          </w14:textFill>
        </w:rPr>
        <w:t>在各作业岗位将相关的安全岗位职责、安全管理制度及安全操作规程上墙；加强现场安全管理，配置现场安全监督检查人员。</w:t>
      </w:r>
    </w:p>
    <w:p w14:paraId="13FF2775">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default" w:ascii="Times New Roman" w:hAnsi="Times New Roman" w:cs="Times New Roman" w:eastAsiaTheme="minorEastAsia"/>
          <w:color w:val="000000" w:themeColor="text1"/>
          <w:sz w:val="28"/>
          <w:szCs w:val="22"/>
          <w14:textFill>
            <w14:solidFill>
              <w14:schemeClr w14:val="tx1"/>
            </w14:solidFill>
          </w14:textFill>
        </w:rPr>
      </w:pPr>
      <w:r>
        <w:rPr>
          <w:rFonts w:hint="default" w:ascii="Times New Roman" w:hAnsi="Times New Roman" w:cs="Times New Roman" w:eastAsiaTheme="minorEastAsia"/>
          <w:color w:val="000000" w:themeColor="text1"/>
          <w:sz w:val="28"/>
          <w:szCs w:val="22"/>
          <w:lang w:val="en-US" w:eastAsia="zh-CN" w:bidi="ar-SA"/>
          <w14:textFill>
            <w14:solidFill>
              <w14:schemeClr w14:val="tx1"/>
            </w14:solidFill>
          </w14:textFill>
        </w:rPr>
        <w:t>10．</w:t>
      </w:r>
      <w:r>
        <w:rPr>
          <w:rFonts w:hint="default" w:ascii="Times New Roman" w:hAnsi="Times New Roman" w:cs="Times New Roman" w:eastAsiaTheme="minorEastAsia"/>
          <w:color w:val="000000" w:themeColor="text1"/>
          <w:sz w:val="28"/>
          <w:szCs w:val="22"/>
          <w14:textFill>
            <w14:solidFill>
              <w14:schemeClr w14:val="tx1"/>
            </w14:solidFill>
          </w14:textFill>
        </w:rPr>
        <w:t>根据厂区各危险场所的职业危害因素情况，定期对各危险场所的职业危害因素进行检测并配备相应的防护设施。</w:t>
      </w:r>
    </w:p>
    <w:p w14:paraId="6766434C">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default" w:ascii="Times New Roman" w:hAnsi="Times New Roman" w:cs="Times New Roman" w:eastAsiaTheme="minorEastAsia"/>
          <w:color w:val="000000" w:themeColor="text1"/>
          <w:sz w:val="28"/>
          <w:szCs w:val="22"/>
          <w14:textFill>
            <w14:solidFill>
              <w14:schemeClr w14:val="tx1"/>
            </w14:solidFill>
          </w14:textFill>
        </w:rPr>
      </w:pPr>
      <w:r>
        <w:rPr>
          <w:rFonts w:hint="default" w:ascii="Times New Roman" w:hAnsi="Times New Roman" w:cs="Times New Roman" w:eastAsiaTheme="minorEastAsia"/>
          <w:color w:val="000000" w:themeColor="text1"/>
          <w:sz w:val="28"/>
          <w:szCs w:val="22"/>
          <w:lang w:val="en-US" w:eastAsia="zh-CN" w:bidi="ar-SA"/>
          <w14:textFill>
            <w14:solidFill>
              <w14:schemeClr w14:val="tx1"/>
            </w14:solidFill>
          </w14:textFill>
        </w:rPr>
        <w:t>11．</w:t>
      </w:r>
      <w:r>
        <w:rPr>
          <w:rFonts w:hint="default" w:ascii="Times New Roman" w:hAnsi="Times New Roman" w:cs="Times New Roman" w:eastAsiaTheme="minorEastAsia"/>
          <w:color w:val="000000" w:themeColor="text1"/>
          <w:sz w:val="28"/>
          <w:szCs w:val="22"/>
          <w14:textFill>
            <w14:solidFill>
              <w14:schemeClr w14:val="tx1"/>
            </w14:solidFill>
          </w14:textFill>
        </w:rPr>
        <w:t>各电气室应备有按规定经定期检查试验合格的电工器具和电工防护用品。</w:t>
      </w:r>
    </w:p>
    <w:p w14:paraId="2985E082">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default" w:ascii="Times New Roman" w:hAnsi="Times New Roman" w:cs="Times New Roman" w:eastAsiaTheme="minorEastAsia"/>
          <w:color w:val="000000" w:themeColor="text1"/>
          <w:sz w:val="28"/>
          <w:szCs w:val="22"/>
          <w14:textFill>
            <w14:solidFill>
              <w14:schemeClr w14:val="tx1"/>
            </w14:solidFill>
          </w14:textFill>
        </w:rPr>
      </w:pPr>
      <w:r>
        <w:rPr>
          <w:rFonts w:hint="default" w:ascii="Times New Roman" w:hAnsi="Times New Roman" w:cs="Times New Roman" w:eastAsiaTheme="minorEastAsia"/>
          <w:color w:val="000000" w:themeColor="text1"/>
          <w:sz w:val="28"/>
          <w:szCs w:val="22"/>
          <w:lang w:val="en-US" w:eastAsia="zh-CN" w:bidi="ar-SA"/>
          <w14:textFill>
            <w14:solidFill>
              <w14:schemeClr w14:val="tx1"/>
            </w14:solidFill>
          </w14:textFill>
        </w:rPr>
        <w:t>12．</w:t>
      </w:r>
      <w:r>
        <w:rPr>
          <w:rFonts w:hint="default" w:ascii="Times New Roman" w:hAnsi="Times New Roman" w:cs="Times New Roman" w:eastAsiaTheme="minorEastAsia"/>
          <w:color w:val="000000" w:themeColor="text1"/>
          <w:sz w:val="28"/>
          <w:szCs w:val="22"/>
          <w14:textFill>
            <w14:solidFill>
              <w14:schemeClr w14:val="tx1"/>
            </w14:solidFill>
          </w14:textFill>
        </w:rPr>
        <w:t>企业应当制定本单位的应急预案演练计划，根据本单位的事故风险特点，每年至少组织一次综合应急预案演练或者专项应急预案演练，每半年至少组织一次现场处置方案演练。</w:t>
      </w:r>
    </w:p>
    <w:p w14:paraId="6ABEE47B">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13．</w:t>
      </w:r>
      <w:r>
        <w:rPr>
          <w:rFonts w:hint="eastAsia" w:ascii="宋体" w:hAnsi="宋体" w:eastAsia="宋体" w:cs="宋体"/>
          <w:color w:val="000000" w:themeColor="text1"/>
          <w:sz w:val="28"/>
          <w:szCs w:val="28"/>
          <w14:textFill>
            <w14:solidFill>
              <w14:schemeClr w14:val="tx1"/>
            </w14:solidFill>
          </w14:textFill>
        </w:rPr>
        <w:t>有限空间作业</w:t>
      </w:r>
    </w:p>
    <w:p w14:paraId="38503EC4">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有限空间作业必须严格执行《工贸企业有限空间作业安全规定》，认真落实以下防范措施：</w:t>
      </w:r>
    </w:p>
    <w:p w14:paraId="7984B73F">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（1）不断完善有限空间作业安全责任制度；</w:t>
      </w:r>
    </w:p>
    <w:p w14:paraId="7376E81D">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（2）严格执行有限空间作业审批制度；</w:t>
      </w:r>
    </w:p>
    <w:p w14:paraId="33B3A708">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（3）严格执行有限空间作业现场安全管理制度；</w:t>
      </w:r>
    </w:p>
    <w:p w14:paraId="0E1BB98C">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（4）严格执行有限空间作业现场负责人、监护人员、应急救援人员安全培训教育制度；</w:t>
      </w:r>
    </w:p>
    <w:p w14:paraId="58A9E8F4">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（5）严格执行有限空间作业应急管理制度；</w:t>
      </w:r>
    </w:p>
    <w:p w14:paraId="095AC238">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（6）严格执行有限空间作业安全操作规程；</w:t>
      </w:r>
    </w:p>
    <w:p w14:paraId="79D98F32">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（7）定期更新有限空间台账，定期完善有限空间安全防护措施；</w:t>
      </w:r>
    </w:p>
    <w:p w14:paraId="2A575B7D">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（8）对从事有限空间作业的现场负责人、监护人员、作业人员、应急救援人员进行专项安全培训；</w:t>
      </w:r>
    </w:p>
    <w:p w14:paraId="745D9AA8">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9）有限空间作业应当严格遵守“先通风、再检测、后作业”的原则，未经通风和检测合格，任何人员不得进入有限空间作业，检测时间不得早于作业开始前30分钟，作业中断超过30分钟，作业人员再次进入有限空间作业前，应当重新进行通风，检测合格后方可进入作业；</w:t>
      </w:r>
    </w:p>
    <w:p w14:paraId="46030D7A">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10）对于用钥匙、工具打开的或有实物障碍的有限空间，打开时应在进入点附近设置警示标识。无需工具、钥匙就可进入或无实物障碍阻挡进入的有限空间，应设置固定的警示标识。所有警示标识应包括提醒有危险存在和须经授权才允许进入的词语；</w:t>
      </w:r>
    </w:p>
    <w:p w14:paraId="7E28D144">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11）有限空间作业过程中，应保持有限空间出入口畅通，设置明显的安全警示标志和警示说明、作业前清点作业人员和工器具、作业人员与外部有可靠的通讯联络、监护人员不得离开现场，并与作业人员保持联系、存在交叉作业时采取避免互相伤害的防护措施；</w:t>
      </w:r>
    </w:p>
    <w:p w14:paraId="7EF116A2">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12）有限空间内盛装或者残留的物料对作业存在危害时，作业人员应当在作业前对物料进行清洗、清空或者置换。经检测，有限空间的危险有害因素符合《工作场所有害因素接触限值第一部分:化学有害因素》（GBZ2.1-2019）的要求后，方可进入有限空间作业，有限空间作业氧含量应在19.5%～23.5%之间；</w:t>
      </w:r>
    </w:p>
    <w:p w14:paraId="01FE4BA7">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13）有限空间作业场所的照明灯具电压应当符合《特低电压(ELV)限值》（GB/T3805-2008）等国家标准或者行业标准的规定；作业场所存在可燃性气体、粉尘的，其电气设施设备及照明灯具的防爆安全要求应当符合《爆炸性环境第一部分：设备通用要求》（GB/T3836.1-2021）等国家标准或者行业标准的规定；</w:t>
      </w:r>
    </w:p>
    <w:p w14:paraId="13A8F074">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14）建议企业应当根据本企业有限空间作业的特点，配备呼吸器、防毒面罩、通讯设备、安全绳索等应急装备和器材。有限空间作业现场负责人、监护人员、作业人员和应急救援人员应当掌握相关应急预案内容，定期进行演练，提高应急处置能力；</w:t>
      </w:r>
    </w:p>
    <w:p w14:paraId="531D611E">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（15）有限空间作业中发生事故后，现场有关人员应当立即报警，禁止盲目施救。应急救援人员实施救援时，应当做好自身防护，佩戴必要的呼吸器具、救援器材。</w:t>
      </w:r>
    </w:p>
    <w:p w14:paraId="1BE1B1CC">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2"/>
          <w:lang w:val="en-US" w:eastAsia="zh-CN" w:bidi="ar-SA"/>
          <w14:textFill>
            <w14:solidFill>
              <w14:schemeClr w14:val="tx1"/>
            </w14:solidFill>
          </w14:textFill>
        </w:rPr>
      </w:pPr>
      <w:bookmarkStart w:id="867" w:name="_Toc30001470"/>
      <w:bookmarkStart w:id="868" w:name="_Toc19790"/>
      <w:bookmarkStart w:id="869" w:name="_Toc61474493"/>
      <w:bookmarkStart w:id="870" w:name="_Toc322356093"/>
      <w:bookmarkStart w:id="871" w:name="_Toc10099"/>
      <w:bookmarkStart w:id="872" w:name="_Toc17208"/>
      <w:bookmarkStart w:id="873" w:name="_Toc32066"/>
      <w:r>
        <w:rPr>
          <w:rFonts w:hint="eastAsia" w:ascii="宋体" w:hAnsi="宋体" w:eastAsia="宋体" w:cs="宋体"/>
          <w:color w:val="000000" w:themeColor="text1"/>
          <w:sz w:val="28"/>
          <w:szCs w:val="22"/>
          <w:lang w:val="en-US" w:eastAsia="zh-CN" w:bidi="ar-SA"/>
          <w14:textFill>
            <w14:solidFill>
              <w14:schemeClr w14:val="tx1"/>
            </w14:solidFill>
          </w14:textFill>
        </w:rPr>
        <w:t>14.安全生产标准化</w:t>
      </w:r>
      <w:bookmarkEnd w:id="867"/>
      <w:bookmarkEnd w:id="868"/>
      <w:bookmarkEnd w:id="869"/>
      <w:bookmarkEnd w:id="870"/>
      <w:bookmarkEnd w:id="871"/>
      <w:bookmarkEnd w:id="872"/>
      <w:bookmarkEnd w:id="873"/>
    </w:p>
    <w:p w14:paraId="524900F7">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企业应贯彻和落实《国务院关于进一步加强企业安全生产工作的通知》（国发〔2010〕23号）和《企业安全生产标准化建设定级办法》（应急(2021)83号）全面推进本企业安全生产标准化建设，进一步规范企业安全生产行为，改善安全生产条件，强化安全基础管理，有效防范和坚决遏制重特大事故发生。企业安全生产标准化工作应采用“策划、实施、检查、改进”动态循环的模式，依据本标准的要求，结合自身特点，建立并保持安全生产标准化系统；通过自我检查、自我纠正和自我完善，建立安全绩效持续改进的安全生产长效机制。</w:t>
      </w:r>
    </w:p>
    <w:p w14:paraId="59F063AB">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2"/>
          <w:lang w:val="zh-CN" w:eastAsia="zh-CN" w:bidi="ar-SA"/>
          <w14:textFill>
            <w14:solidFill>
              <w14:schemeClr w14:val="tx1"/>
            </w14:solidFill>
          </w14:textFill>
        </w:rPr>
      </w:pPr>
      <w:bookmarkStart w:id="874" w:name="_Toc3105"/>
      <w:bookmarkStart w:id="875" w:name="_Toc16565"/>
      <w:bookmarkStart w:id="876" w:name="_Toc31886"/>
      <w:bookmarkStart w:id="877" w:name="_Toc363"/>
      <w:r>
        <w:rPr>
          <w:rFonts w:hint="eastAsia" w:ascii="宋体" w:hAnsi="宋体" w:eastAsia="宋体" w:cs="宋体"/>
          <w:color w:val="000000" w:themeColor="text1"/>
          <w:sz w:val="28"/>
          <w:szCs w:val="22"/>
          <w:lang w:val="en-US" w:eastAsia="zh-CN" w:bidi="ar-SA"/>
          <w14:textFill>
            <w14:solidFill>
              <w14:schemeClr w14:val="tx1"/>
            </w14:solidFill>
          </w14:textFill>
        </w:rPr>
        <w:t>15.</w:t>
      </w:r>
      <w:r>
        <w:rPr>
          <w:rFonts w:hint="eastAsia" w:ascii="宋体" w:hAnsi="宋体" w:eastAsia="宋体" w:cs="宋体"/>
          <w:color w:val="000000" w:themeColor="text1"/>
          <w:sz w:val="28"/>
          <w:szCs w:val="22"/>
          <w:lang w:val="zh-CN" w:eastAsia="zh-CN" w:bidi="ar-SA"/>
          <w14:textFill>
            <w14:solidFill>
              <w14:schemeClr w14:val="tx1"/>
            </w14:solidFill>
          </w14:textFill>
        </w:rPr>
        <w:t>双重预防机制建立</w:t>
      </w:r>
      <w:bookmarkEnd w:id="874"/>
      <w:bookmarkEnd w:id="875"/>
      <w:bookmarkEnd w:id="876"/>
      <w:bookmarkEnd w:id="877"/>
    </w:p>
    <w:p w14:paraId="151A0107">
      <w:pPr>
        <w:adjustRightInd w:val="0"/>
        <w:snapToGrid w:val="0"/>
        <w:spacing w:line="500" w:lineRule="exact"/>
        <w:ind w:firstLine="635" w:firstLineChars="227"/>
        <w:rPr>
          <w:rFonts w:hint="eastAsia"/>
          <w:color w:val="000000" w:themeColor="text1"/>
          <w14:textFill>
            <w14:solidFill>
              <w14:schemeClr w14:val="tx1"/>
            </w14:solidFill>
          </w14:textFill>
        </w:rPr>
      </w:pPr>
      <w:r>
        <w:rPr>
          <w:rFonts w:hint="eastAsia" w:ascii="宋体" w:hAnsi="宋体" w:eastAsia="宋体" w:cs="宋体"/>
          <w:b w:val="0"/>
          <w:bCs w:val="0"/>
          <w:snapToGrid/>
          <w:color w:val="000000" w:themeColor="text1"/>
          <w:sz w:val="28"/>
          <w:szCs w:val="28"/>
          <w:lang w:val="zh-CN" w:eastAsia="zh-CN" w:bidi="ar-SA"/>
          <w14:textFill>
            <w14:solidFill>
              <w14:schemeClr w14:val="tx1"/>
            </w14:solidFill>
          </w14:textFill>
        </w:rPr>
        <w:t>企业应根据《中华人民共和国安全生产法》、《企业安全生产双重预防机制建设规范》（T/CSPSTC17-2018）、《云南省安全生产条例》等规范要求构建安全风险分级管控和隐患排查治理双重预防机制。</w:t>
      </w:r>
    </w:p>
    <w:p w14:paraId="610162D8">
      <w:pPr>
        <w:tabs>
          <w:tab w:val="left" w:pos="630"/>
          <w:tab w:val="left" w:pos="993"/>
        </w:tabs>
        <w:spacing w:line="500" w:lineRule="exact"/>
        <w:rPr>
          <w:rFonts w:ascii="Times New Roman"/>
          <w:color w:val="000000" w:themeColor="text1"/>
          <w:sz w:val="28"/>
          <w:szCs w:val="22"/>
          <w14:textFill>
            <w14:solidFill>
              <w14:schemeClr w14:val="tx1"/>
            </w14:solidFill>
          </w14:textFill>
        </w:rPr>
        <w:sectPr>
          <w:pgSz w:w="11906" w:h="16838"/>
          <w:pgMar w:top="1587" w:right="1701" w:bottom="1701" w:left="1701" w:header="851" w:footer="992" w:gutter="0"/>
          <w:pgBorders>
            <w:top w:val="none" w:sz="0" w:space="0"/>
            <w:left w:val="none" w:sz="0" w:space="0"/>
            <w:bottom w:val="none" w:sz="0" w:space="0"/>
            <w:right w:val="none" w:sz="0" w:space="0"/>
          </w:pgBorders>
          <w:pgNumType w:fmt="decimal"/>
          <w:cols w:space="720" w:num="1"/>
          <w:docGrid w:type="lines" w:linePitch="330" w:charSpace="0"/>
        </w:sectPr>
      </w:pPr>
    </w:p>
    <w:bookmarkEnd w:id="852"/>
    <w:p w14:paraId="34DEF5C2">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default" w:ascii="Times New Roman" w:hAnsi="Times New Roman" w:eastAsia="黑体" w:cs="Times New Roman"/>
          <w:color w:val="000000" w:themeColor="text1"/>
          <w14:textFill>
            <w14:solidFill>
              <w14:schemeClr w14:val="tx1"/>
            </w14:solidFill>
          </w14:textFill>
        </w:rPr>
      </w:pPr>
      <w:bookmarkStart w:id="878" w:name="_Toc313453636"/>
      <w:bookmarkStart w:id="879" w:name="_Toc19231"/>
      <w:bookmarkStart w:id="880" w:name="_Toc12583"/>
      <w:bookmarkStart w:id="881" w:name="_Toc18703"/>
      <w:bookmarkStart w:id="882" w:name="_Toc10960"/>
      <w:bookmarkStart w:id="883" w:name="_Toc3353"/>
      <w:bookmarkStart w:id="884" w:name="_Toc335926320"/>
      <w:r>
        <w:rPr>
          <w:rFonts w:hint="default" w:ascii="Times New Roman" w:hAnsi="Times New Roman" w:eastAsia="黑体" w:cs="Times New Roman"/>
          <w:color w:val="000000" w:themeColor="text1"/>
          <w14:textFill>
            <w14:solidFill>
              <w14:schemeClr w14:val="tx1"/>
            </w14:solidFill>
          </w14:textFill>
        </w:rPr>
        <w:t>第7章  安全现状评价结论</w:t>
      </w:r>
      <w:bookmarkEnd w:id="878"/>
      <w:bookmarkEnd w:id="879"/>
      <w:bookmarkEnd w:id="880"/>
      <w:bookmarkEnd w:id="881"/>
      <w:bookmarkEnd w:id="882"/>
      <w:bookmarkEnd w:id="883"/>
      <w:bookmarkEnd w:id="884"/>
    </w:p>
    <w:p w14:paraId="49A4672A">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885" w:name="_Toc115119270"/>
      <w:bookmarkStart w:id="886" w:name="_Toc115119082"/>
      <w:bookmarkStart w:id="887" w:name="_Toc2283"/>
      <w:bookmarkStart w:id="888" w:name="_Toc23397"/>
      <w:bookmarkStart w:id="889" w:name="_Toc4695"/>
      <w:bookmarkStart w:id="890" w:name="_Toc23553"/>
      <w:bookmarkStart w:id="891" w:name="_Toc115119086"/>
      <w:bookmarkStart w:id="892" w:name="_Toc115120302"/>
      <w:bookmarkStart w:id="893" w:name="_Toc115120696"/>
      <w:bookmarkStart w:id="894" w:name="_Toc115119274"/>
      <w:r>
        <w:rPr>
          <w:rFonts w:hint="default" w:ascii="Times New Roman" w:hAnsi="Times New Roman" w:eastAsia="楷体" w:cs="Times New Roman"/>
          <w:color w:val="000000" w:themeColor="text1"/>
          <w14:textFill>
            <w14:solidFill>
              <w14:schemeClr w14:val="tx1"/>
            </w14:solidFill>
          </w14:textFill>
        </w:rPr>
        <w:t>7.1</w:t>
      </w:r>
      <w:bookmarkEnd w:id="885"/>
      <w:bookmarkEnd w:id="886"/>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主要危险、有害因素评价结果</w:t>
      </w:r>
      <w:bookmarkEnd w:id="887"/>
      <w:bookmarkEnd w:id="888"/>
      <w:bookmarkEnd w:id="889"/>
      <w:bookmarkEnd w:id="890"/>
    </w:p>
    <w:p w14:paraId="20BAC6FA">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895" w:name="_Toc14247"/>
      <w:bookmarkStart w:id="896" w:name="_Toc18741"/>
      <w:bookmarkStart w:id="897" w:name="_Toc31829"/>
      <w:r>
        <w:rPr>
          <w:rFonts w:hint="default" w:ascii="Times New Roman" w:hAnsi="Times New Roman" w:eastAsia="黑体" w:cs="Times New Roman"/>
          <w:color w:val="000000" w:themeColor="text1"/>
          <w:lang w:val="en-US" w:eastAsia="zh-CN"/>
          <w14:textFill>
            <w14:solidFill>
              <w14:schemeClr w14:val="tx1"/>
            </w14:solidFill>
          </w14:textFill>
        </w:rPr>
        <w:t>7.1.1</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lang w:val="en-US" w:eastAsia="zh-CN"/>
          <w14:textFill>
            <w14:solidFill>
              <w14:schemeClr w14:val="tx1"/>
            </w14:solidFill>
          </w14:textFill>
        </w:rPr>
        <w:t>主要危险、有害因素</w:t>
      </w:r>
      <w:bookmarkEnd w:id="895"/>
      <w:bookmarkEnd w:id="896"/>
      <w:bookmarkEnd w:id="897"/>
    </w:p>
    <w:p w14:paraId="1B9FC0C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本项目存在的主要危险、有害因素有：火灾、中毒</w:t>
      </w:r>
      <w:r>
        <w:rPr>
          <w:rFonts w:hint="eastAsia" w:ascii="Times New Roman"/>
          <w:color w:val="000000" w:themeColor="text1"/>
          <w:sz w:val="28"/>
          <w:szCs w:val="28"/>
          <w:lang w:eastAsia="zh-CN"/>
          <w14:textFill>
            <w14:solidFill>
              <w14:schemeClr w14:val="tx1"/>
            </w14:solidFill>
          </w14:textFill>
        </w:rPr>
        <w:t>和</w:t>
      </w:r>
      <w:r>
        <w:rPr>
          <w:rFonts w:ascii="Times New Roman"/>
          <w:color w:val="000000" w:themeColor="text1"/>
          <w:sz w:val="28"/>
          <w:szCs w:val="28"/>
          <w14:textFill>
            <w14:solidFill>
              <w14:schemeClr w14:val="tx1"/>
            </w14:solidFill>
          </w14:textFill>
        </w:rPr>
        <w:t>窒息、高处坠落、机械伤害、触电、车辆伤害、物体打击、</w:t>
      </w:r>
      <w:r>
        <w:rPr>
          <w:rFonts w:hint="eastAsia" w:ascii="Times New Roman"/>
          <w:color w:val="000000" w:themeColor="text1"/>
          <w:sz w:val="28"/>
          <w:szCs w:val="28"/>
          <w14:textFill>
            <w14:solidFill>
              <w14:schemeClr w14:val="tx1"/>
            </w14:solidFill>
          </w14:textFill>
        </w:rPr>
        <w:t>容器爆炸</w:t>
      </w:r>
      <w:r>
        <w:rPr>
          <w:rFonts w:ascii="Times New Roman"/>
          <w:color w:val="000000" w:themeColor="text1"/>
          <w:sz w:val="28"/>
          <w:szCs w:val="28"/>
          <w14:textFill>
            <w14:solidFill>
              <w14:schemeClr w14:val="tx1"/>
            </w14:solidFill>
          </w14:textFill>
        </w:rPr>
        <w:t>、坍塌</w:t>
      </w:r>
      <w:r>
        <w:rPr>
          <w:rFonts w:hint="eastAsia" w:ascii="Times New Roman"/>
          <w:color w:val="000000" w:themeColor="text1"/>
          <w:sz w:val="28"/>
          <w:szCs w:val="28"/>
          <w14:textFill>
            <w14:solidFill>
              <w14:schemeClr w14:val="tx1"/>
            </w14:solidFill>
          </w14:textFill>
        </w:rPr>
        <w:t>、灼烫、</w:t>
      </w:r>
      <w:r>
        <w:rPr>
          <w:rFonts w:hint="eastAsia" w:ascii="Times New Roman"/>
          <w:color w:val="000000" w:themeColor="text1"/>
          <w:sz w:val="28"/>
          <w:szCs w:val="28"/>
          <w:lang w:val="en-US" w:eastAsia="zh-CN"/>
          <w14:textFill>
            <w14:solidFill>
              <w14:schemeClr w14:val="tx1"/>
            </w14:solidFill>
          </w14:textFill>
        </w:rPr>
        <w:t>淹溺、</w:t>
      </w:r>
      <w:r>
        <w:rPr>
          <w:rFonts w:hint="eastAsia" w:ascii="Times New Roman"/>
          <w:color w:val="000000" w:themeColor="text1"/>
          <w:sz w:val="28"/>
          <w:szCs w:val="28"/>
          <w14:textFill>
            <w14:solidFill>
              <w14:schemeClr w14:val="tx1"/>
            </w14:solidFill>
          </w14:textFill>
        </w:rPr>
        <w:t>起重伤害</w:t>
      </w:r>
      <w:r>
        <w:rPr>
          <w:rFonts w:ascii="Times New Roman"/>
          <w:color w:val="000000" w:themeColor="text1"/>
          <w:sz w:val="28"/>
          <w:szCs w:val="28"/>
          <w14:textFill>
            <w14:solidFill>
              <w14:schemeClr w14:val="tx1"/>
            </w14:solidFill>
          </w14:textFill>
        </w:rPr>
        <w:t>及其它危害等。</w:t>
      </w:r>
    </w:p>
    <w:p w14:paraId="4DE8AACC">
      <w:pPr>
        <w:pStyle w:val="5"/>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黑体" w:cs="Times New Roman"/>
          <w:color w:val="000000" w:themeColor="text1"/>
          <w:lang w:val="en-US" w:eastAsia="zh-CN"/>
          <w14:textFill>
            <w14:solidFill>
              <w14:schemeClr w14:val="tx1"/>
            </w14:solidFill>
          </w14:textFill>
        </w:rPr>
      </w:pPr>
      <w:bookmarkStart w:id="898" w:name="_Toc12198"/>
      <w:bookmarkStart w:id="899" w:name="_Toc4759"/>
      <w:bookmarkStart w:id="900" w:name="_Toc7839"/>
      <w:r>
        <w:rPr>
          <w:rFonts w:hint="default" w:ascii="Times New Roman" w:hAnsi="Times New Roman" w:eastAsia="黑体" w:cs="Times New Roman"/>
          <w:color w:val="000000" w:themeColor="text1"/>
          <w:lang w:val="en-US" w:eastAsia="zh-CN"/>
          <w14:textFill>
            <w14:solidFill>
              <w14:schemeClr w14:val="tx1"/>
            </w14:solidFill>
          </w14:textFill>
        </w:rPr>
        <w:t>7.1.2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黑体" w:cs="Times New Roman"/>
          <w:color w:val="000000" w:themeColor="text1"/>
          <w:lang w:val="en-US" w:eastAsia="zh-CN"/>
          <w14:textFill>
            <w14:solidFill>
              <w14:schemeClr w14:val="tx1"/>
            </w14:solidFill>
          </w14:textFill>
        </w:rPr>
        <w:t>本项目存在的主要危险、有害因素及存在部位</w:t>
      </w:r>
      <w:bookmarkEnd w:id="898"/>
      <w:bookmarkEnd w:id="899"/>
      <w:bookmarkEnd w:id="900"/>
    </w:p>
    <w:p w14:paraId="268CACC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表7-1  项目危险、有害因素汇总表</w:t>
      </w:r>
    </w:p>
    <w:tbl>
      <w:tblPr>
        <w:tblStyle w:val="51"/>
        <w:tblW w:w="886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514"/>
        <w:gridCol w:w="2915"/>
        <w:gridCol w:w="2740"/>
        <w:gridCol w:w="2006"/>
      </w:tblGrid>
      <w:tr w14:paraId="418591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blHeader/>
          <w:jc w:val="center"/>
        </w:trPr>
        <w:tc>
          <w:tcPr>
            <w:tcW w:w="688" w:type="dxa"/>
            <w:tcBorders>
              <w:left w:val="single" w:color="auto" w:sz="4" w:space="0"/>
            </w:tcBorders>
            <w:noWrap/>
            <w:vAlign w:val="center"/>
          </w:tcPr>
          <w:p w14:paraId="06B13691">
            <w:pPr>
              <w:spacing w:line="320" w:lineRule="exact"/>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项目</w:t>
            </w:r>
          </w:p>
        </w:tc>
        <w:tc>
          <w:tcPr>
            <w:tcW w:w="514" w:type="dxa"/>
            <w:noWrap/>
            <w:vAlign w:val="center"/>
          </w:tcPr>
          <w:p w14:paraId="0E9D2FC8">
            <w:pPr>
              <w:spacing w:line="320" w:lineRule="exact"/>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2915" w:type="dxa"/>
            <w:noWrap/>
            <w:vAlign w:val="center"/>
          </w:tcPr>
          <w:p w14:paraId="4EDF52DB">
            <w:pPr>
              <w:spacing w:line="320" w:lineRule="exact"/>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危险因素分类</w:t>
            </w:r>
          </w:p>
        </w:tc>
        <w:tc>
          <w:tcPr>
            <w:tcW w:w="2740" w:type="dxa"/>
            <w:noWrap/>
            <w:vAlign w:val="center"/>
          </w:tcPr>
          <w:p w14:paraId="53F0938A">
            <w:pPr>
              <w:spacing w:line="320" w:lineRule="exact"/>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可能存在部位</w:t>
            </w:r>
          </w:p>
        </w:tc>
        <w:tc>
          <w:tcPr>
            <w:tcW w:w="2006" w:type="dxa"/>
            <w:tcBorders>
              <w:right w:val="single" w:color="auto" w:sz="4" w:space="0"/>
            </w:tcBorders>
            <w:noWrap/>
            <w:vAlign w:val="center"/>
          </w:tcPr>
          <w:p w14:paraId="6F463BDF">
            <w:pPr>
              <w:spacing w:line="320" w:lineRule="exact"/>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可能造成的后果</w:t>
            </w:r>
          </w:p>
        </w:tc>
      </w:tr>
      <w:tr w14:paraId="129194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restart"/>
            <w:tcBorders>
              <w:left w:val="single" w:color="auto" w:sz="4" w:space="0"/>
            </w:tcBorders>
            <w:noWrap/>
            <w:vAlign w:val="center"/>
          </w:tcPr>
          <w:p w14:paraId="458E706E">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危险因素</w:t>
            </w:r>
          </w:p>
        </w:tc>
        <w:tc>
          <w:tcPr>
            <w:tcW w:w="514" w:type="dxa"/>
            <w:noWrap/>
            <w:vAlign w:val="center"/>
          </w:tcPr>
          <w:p w14:paraId="733F4A11">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2915" w:type="dxa"/>
            <w:noWrap/>
            <w:vAlign w:val="center"/>
          </w:tcPr>
          <w:p w14:paraId="303F1D21">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火灾</w:t>
            </w:r>
          </w:p>
        </w:tc>
        <w:tc>
          <w:tcPr>
            <w:tcW w:w="2740" w:type="dxa"/>
            <w:noWrap/>
            <w:vAlign w:val="center"/>
          </w:tcPr>
          <w:p w14:paraId="27DAB8CE">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配电室</w:t>
            </w:r>
            <w:r>
              <w:rPr>
                <w:rFonts w:hint="default" w:ascii="Times New Roman" w:hAnsi="Times New Roman" w:cs="Times New Roman"/>
                <w:color w:val="000000" w:themeColor="text1"/>
                <w:sz w:val="21"/>
                <w:szCs w:val="21"/>
                <w14:textFill>
                  <w14:solidFill>
                    <w14:schemeClr w14:val="tx1"/>
                  </w14:solidFill>
                </w14:textFill>
              </w:rPr>
              <w:t>及电气设备、供电线路及焊接作业场所。</w:t>
            </w:r>
          </w:p>
        </w:tc>
        <w:tc>
          <w:tcPr>
            <w:tcW w:w="2006" w:type="dxa"/>
            <w:tcBorders>
              <w:right w:val="single" w:color="auto" w:sz="4" w:space="0"/>
            </w:tcBorders>
            <w:noWrap/>
            <w:vAlign w:val="center"/>
          </w:tcPr>
          <w:p w14:paraId="4123D0B1">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人员伤亡、财产损失</w:t>
            </w:r>
          </w:p>
        </w:tc>
      </w:tr>
      <w:tr w14:paraId="7D9481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66FC1406">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449E6139">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w:t>
            </w:r>
          </w:p>
        </w:tc>
        <w:tc>
          <w:tcPr>
            <w:tcW w:w="2915" w:type="dxa"/>
            <w:noWrap/>
            <w:vAlign w:val="center"/>
          </w:tcPr>
          <w:p w14:paraId="729FCFC3">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高处坠落</w:t>
            </w:r>
          </w:p>
        </w:tc>
        <w:tc>
          <w:tcPr>
            <w:tcW w:w="2740" w:type="dxa"/>
            <w:noWrap/>
            <w:vAlign w:val="center"/>
          </w:tcPr>
          <w:p w14:paraId="26D4680D">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爬梯、平台、高处作业等场所。</w:t>
            </w:r>
          </w:p>
        </w:tc>
        <w:tc>
          <w:tcPr>
            <w:tcW w:w="2006" w:type="dxa"/>
            <w:tcBorders>
              <w:right w:val="single" w:color="auto" w:sz="4" w:space="0"/>
            </w:tcBorders>
            <w:noWrap/>
            <w:vAlign w:val="center"/>
          </w:tcPr>
          <w:p w14:paraId="2013860A">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w:t>
            </w:r>
          </w:p>
        </w:tc>
      </w:tr>
      <w:tr w14:paraId="6436CB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086A7AAF">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3D2F46B3">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w:t>
            </w:r>
          </w:p>
        </w:tc>
        <w:tc>
          <w:tcPr>
            <w:tcW w:w="2915" w:type="dxa"/>
            <w:noWrap/>
            <w:vAlign w:val="center"/>
          </w:tcPr>
          <w:p w14:paraId="01A29166">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机械伤害</w:t>
            </w:r>
          </w:p>
        </w:tc>
        <w:tc>
          <w:tcPr>
            <w:tcW w:w="2740" w:type="dxa"/>
            <w:noWrap/>
            <w:vAlign w:val="center"/>
          </w:tcPr>
          <w:p w14:paraId="012B3BFC">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机修车间</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生产车间</w:t>
            </w:r>
            <w:r>
              <w:rPr>
                <w:rFonts w:hint="default" w:ascii="Times New Roman" w:hAnsi="Times New Roman" w:cs="Times New Roman"/>
                <w:color w:val="000000" w:themeColor="text1"/>
                <w:sz w:val="21"/>
                <w:szCs w:val="21"/>
                <w14:textFill>
                  <w14:solidFill>
                    <w14:schemeClr w14:val="tx1"/>
                  </w14:solidFill>
                </w14:textFill>
              </w:rPr>
              <w:t>等场所及机器运转部位。</w:t>
            </w:r>
          </w:p>
        </w:tc>
        <w:tc>
          <w:tcPr>
            <w:tcW w:w="2006" w:type="dxa"/>
            <w:tcBorders>
              <w:right w:val="single" w:color="auto" w:sz="4" w:space="0"/>
            </w:tcBorders>
            <w:noWrap/>
            <w:vAlign w:val="center"/>
          </w:tcPr>
          <w:p w14:paraId="043EF273">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w:t>
            </w:r>
          </w:p>
        </w:tc>
      </w:tr>
      <w:tr w14:paraId="03CCD7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75EBA32C">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7219230C">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w:t>
            </w:r>
          </w:p>
        </w:tc>
        <w:tc>
          <w:tcPr>
            <w:tcW w:w="2915" w:type="dxa"/>
            <w:noWrap/>
            <w:vAlign w:val="center"/>
          </w:tcPr>
          <w:p w14:paraId="4A44B728">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触电</w:t>
            </w:r>
          </w:p>
        </w:tc>
        <w:tc>
          <w:tcPr>
            <w:tcW w:w="2740" w:type="dxa"/>
            <w:noWrap/>
            <w:vAlign w:val="center"/>
          </w:tcPr>
          <w:p w14:paraId="2B3D1548">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配电室及变压器、电气设备、裸露线路等。</w:t>
            </w:r>
          </w:p>
        </w:tc>
        <w:tc>
          <w:tcPr>
            <w:tcW w:w="2006" w:type="dxa"/>
            <w:tcBorders>
              <w:right w:val="single" w:color="auto" w:sz="4" w:space="0"/>
            </w:tcBorders>
            <w:noWrap/>
            <w:vAlign w:val="center"/>
          </w:tcPr>
          <w:p w14:paraId="2590E1F6">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w:t>
            </w:r>
          </w:p>
        </w:tc>
      </w:tr>
      <w:tr w14:paraId="0198AC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6BC0CD9D">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02969178">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w:t>
            </w:r>
          </w:p>
        </w:tc>
        <w:tc>
          <w:tcPr>
            <w:tcW w:w="2915" w:type="dxa"/>
            <w:noWrap/>
            <w:vAlign w:val="center"/>
          </w:tcPr>
          <w:p w14:paraId="48DAC072">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车辆伤害</w:t>
            </w:r>
          </w:p>
        </w:tc>
        <w:tc>
          <w:tcPr>
            <w:tcW w:w="2740" w:type="dxa"/>
            <w:noWrap/>
            <w:vAlign w:val="center"/>
          </w:tcPr>
          <w:p w14:paraId="5A027B3B">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厂区、道路等场所。</w:t>
            </w:r>
          </w:p>
        </w:tc>
        <w:tc>
          <w:tcPr>
            <w:tcW w:w="2006" w:type="dxa"/>
            <w:tcBorders>
              <w:right w:val="single" w:color="auto" w:sz="4" w:space="0"/>
            </w:tcBorders>
            <w:noWrap/>
            <w:vAlign w:val="center"/>
          </w:tcPr>
          <w:p w14:paraId="59A9E43B">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w:t>
            </w:r>
          </w:p>
        </w:tc>
      </w:tr>
      <w:tr w14:paraId="45F7AB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2232184C">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7C736D32">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w:t>
            </w:r>
          </w:p>
        </w:tc>
        <w:tc>
          <w:tcPr>
            <w:tcW w:w="2915" w:type="dxa"/>
            <w:noWrap/>
            <w:vAlign w:val="center"/>
          </w:tcPr>
          <w:p w14:paraId="35286669">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物体打击</w:t>
            </w:r>
          </w:p>
        </w:tc>
        <w:tc>
          <w:tcPr>
            <w:tcW w:w="2740" w:type="dxa"/>
            <w:noWrap/>
            <w:vAlign w:val="center"/>
          </w:tcPr>
          <w:p w14:paraId="59A4E571">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原料区</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lang w:eastAsia="zh-CN"/>
                <w14:textFill>
                  <w14:solidFill>
                    <w14:schemeClr w14:val="tx1"/>
                  </w14:solidFill>
                </w14:textFill>
              </w:rPr>
              <w:t>成品区</w:t>
            </w:r>
            <w:r>
              <w:rPr>
                <w:rFonts w:hint="default" w:ascii="Times New Roman" w:hAnsi="Times New Roman" w:cs="Times New Roman"/>
                <w:color w:val="000000" w:themeColor="text1"/>
                <w:sz w:val="21"/>
                <w:szCs w:val="21"/>
                <w14:textFill>
                  <w14:solidFill>
                    <w14:schemeClr w14:val="tx1"/>
                  </w14:solidFill>
                </w14:textFill>
              </w:rPr>
              <w:t>装卸及修理车间等场所。</w:t>
            </w:r>
          </w:p>
        </w:tc>
        <w:tc>
          <w:tcPr>
            <w:tcW w:w="2006" w:type="dxa"/>
            <w:tcBorders>
              <w:right w:val="single" w:color="auto" w:sz="4" w:space="0"/>
            </w:tcBorders>
            <w:noWrap/>
            <w:vAlign w:val="center"/>
          </w:tcPr>
          <w:p w14:paraId="1D039688">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w:t>
            </w:r>
          </w:p>
        </w:tc>
      </w:tr>
      <w:tr w14:paraId="3F8192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3F8E49F3">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67AE07C1">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7</w:t>
            </w:r>
          </w:p>
        </w:tc>
        <w:tc>
          <w:tcPr>
            <w:tcW w:w="2915" w:type="dxa"/>
            <w:noWrap/>
            <w:vAlign w:val="center"/>
          </w:tcPr>
          <w:p w14:paraId="26A3BD66">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中毒</w:t>
            </w:r>
            <w:r>
              <w:rPr>
                <w:rFonts w:hint="default" w:ascii="Times New Roman" w:hAnsi="Times New Roman" w:cs="Times New Roman"/>
                <w:color w:val="000000" w:themeColor="text1"/>
                <w:sz w:val="21"/>
                <w:szCs w:val="21"/>
                <w:lang w:eastAsia="zh-CN"/>
                <w14:textFill>
                  <w14:solidFill>
                    <w14:schemeClr w14:val="tx1"/>
                  </w14:solidFill>
                </w14:textFill>
              </w:rPr>
              <w:t>和</w:t>
            </w:r>
            <w:r>
              <w:rPr>
                <w:rFonts w:hint="default" w:ascii="Times New Roman" w:hAnsi="Times New Roman" w:cs="Times New Roman"/>
                <w:color w:val="000000" w:themeColor="text1"/>
                <w:sz w:val="21"/>
                <w:szCs w:val="21"/>
                <w14:textFill>
                  <w14:solidFill>
                    <w14:schemeClr w14:val="tx1"/>
                  </w14:solidFill>
                </w14:textFill>
              </w:rPr>
              <w:t>窒息</w:t>
            </w:r>
          </w:p>
        </w:tc>
        <w:tc>
          <w:tcPr>
            <w:tcW w:w="2740" w:type="dxa"/>
            <w:noWrap/>
            <w:vAlign w:val="center"/>
          </w:tcPr>
          <w:p w14:paraId="3AD45B75">
            <w:pPr>
              <w:spacing w:line="320" w:lineRule="exact"/>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eastAsia="zh-CN"/>
                <w14:textFill>
                  <w14:solidFill>
                    <w14:schemeClr w14:val="tx1"/>
                  </w14:solidFill>
                </w14:textFill>
              </w:rPr>
              <w:t>脱硫塔、遂道窑、</w:t>
            </w:r>
            <w:r>
              <w:rPr>
                <w:rFonts w:hint="eastAsia" w:ascii="Times New Roman" w:cs="Times New Roman"/>
                <w:color w:val="000000" w:themeColor="text1"/>
                <w:sz w:val="21"/>
                <w:szCs w:val="21"/>
                <w:lang w:val="en-US" w:eastAsia="zh-CN"/>
                <w14:textFill>
                  <w14:solidFill>
                    <w14:schemeClr w14:val="tx1"/>
                  </w14:solidFill>
                </w14:textFill>
              </w:rPr>
              <w:t>污水处理</w:t>
            </w:r>
            <w:r>
              <w:rPr>
                <w:rFonts w:hint="eastAsia" w:ascii="Times New Roman" w:cs="Times New Roman"/>
                <w:color w:val="000000" w:themeColor="text1"/>
                <w:sz w:val="21"/>
                <w:szCs w:val="21"/>
                <w:lang w:eastAsia="zh-CN"/>
                <w14:textFill>
                  <w14:solidFill>
                    <w14:schemeClr w14:val="tx1"/>
                  </w14:solidFill>
                </w14:textFill>
              </w:rPr>
              <w:t>池、化粪池等场</w:t>
            </w: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2006" w:type="dxa"/>
            <w:tcBorders>
              <w:right w:val="single" w:color="auto" w:sz="4" w:space="0"/>
            </w:tcBorders>
            <w:noWrap/>
            <w:vAlign w:val="center"/>
          </w:tcPr>
          <w:p w14:paraId="3170F6B5">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w:t>
            </w:r>
          </w:p>
        </w:tc>
      </w:tr>
      <w:tr w14:paraId="2C6BEB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3EE59AFF">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23E5BF31">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w:t>
            </w:r>
          </w:p>
        </w:tc>
        <w:tc>
          <w:tcPr>
            <w:tcW w:w="2915" w:type="dxa"/>
            <w:noWrap/>
            <w:vAlign w:val="center"/>
          </w:tcPr>
          <w:p w14:paraId="3FD42C16">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容器爆炸</w:t>
            </w:r>
          </w:p>
        </w:tc>
        <w:tc>
          <w:tcPr>
            <w:tcW w:w="2740" w:type="dxa"/>
            <w:noWrap/>
            <w:vAlign w:val="center"/>
          </w:tcPr>
          <w:p w14:paraId="02EBADCC">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机修车间、焊</w:t>
            </w:r>
            <w:r>
              <w:rPr>
                <w:rFonts w:hint="default" w:ascii="Times New Roman" w:hAnsi="Times New Roman" w:cs="Times New Roman"/>
                <w:color w:val="000000" w:themeColor="text1"/>
                <w:sz w:val="21"/>
                <w:szCs w:val="21"/>
                <w:lang w:eastAsia="zh-CN"/>
                <w14:textFill>
                  <w14:solidFill>
                    <w14:schemeClr w14:val="tx1"/>
                  </w14:solidFill>
                </w14:textFill>
              </w:rPr>
              <w:t>接</w:t>
            </w:r>
            <w:r>
              <w:rPr>
                <w:rFonts w:hint="default" w:ascii="Times New Roman" w:hAnsi="Times New Roman" w:cs="Times New Roman"/>
                <w:color w:val="000000" w:themeColor="text1"/>
                <w:sz w:val="21"/>
                <w:szCs w:val="21"/>
                <w14:textFill>
                  <w14:solidFill>
                    <w14:schemeClr w14:val="tx1"/>
                  </w14:solidFill>
                </w14:textFill>
              </w:rPr>
              <w:t>作业场所。</w:t>
            </w:r>
          </w:p>
        </w:tc>
        <w:tc>
          <w:tcPr>
            <w:tcW w:w="2006" w:type="dxa"/>
            <w:tcBorders>
              <w:right w:val="single" w:color="auto" w:sz="4" w:space="0"/>
            </w:tcBorders>
            <w:noWrap/>
            <w:vAlign w:val="center"/>
          </w:tcPr>
          <w:p w14:paraId="210BBAAF">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人员伤亡、财产损失</w:t>
            </w:r>
          </w:p>
        </w:tc>
      </w:tr>
      <w:tr w14:paraId="69261C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6060B5B2">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78D6F700">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w:t>
            </w:r>
          </w:p>
        </w:tc>
        <w:tc>
          <w:tcPr>
            <w:tcW w:w="2915" w:type="dxa"/>
            <w:noWrap/>
            <w:vAlign w:val="center"/>
          </w:tcPr>
          <w:p w14:paraId="5EC344D5">
            <w:pPr>
              <w:spacing w:line="320" w:lineRule="exact"/>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坍塌</w:t>
            </w:r>
          </w:p>
        </w:tc>
        <w:tc>
          <w:tcPr>
            <w:tcW w:w="2740" w:type="dxa"/>
            <w:noWrap/>
            <w:vAlign w:val="center"/>
          </w:tcPr>
          <w:p w14:paraId="007FD9C3">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lang w:eastAsia="zh-CN"/>
                <w14:textFill>
                  <w14:solidFill>
                    <w14:schemeClr w14:val="tx1"/>
                  </w14:solidFill>
                </w14:textFill>
              </w:rPr>
              <w:t>遂道窑</w:t>
            </w:r>
            <w:r>
              <w:rPr>
                <w:rFonts w:hint="default" w:ascii="Times New Roman" w:hAnsi="Times New Roman" w:cs="Times New Roman"/>
                <w:color w:val="000000" w:themeColor="text1"/>
                <w:sz w:val="21"/>
                <w:szCs w:val="21"/>
                <w14:textFill>
                  <w14:solidFill>
                    <w14:schemeClr w14:val="tx1"/>
                  </w14:solidFill>
                </w14:textFill>
              </w:rPr>
              <w:t>、</w:t>
            </w:r>
            <w:r>
              <w:rPr>
                <w:rFonts w:hint="eastAsia" w:ascii="Times New Roman" w:cs="Times New Roman"/>
                <w:color w:val="000000" w:themeColor="text1"/>
                <w:sz w:val="21"/>
                <w:szCs w:val="21"/>
                <w:lang w:eastAsia="zh-CN"/>
                <w14:textFill>
                  <w14:solidFill>
                    <w14:schemeClr w14:val="tx1"/>
                  </w14:solidFill>
                </w14:textFill>
              </w:rPr>
              <w:t>原料堆场等场所。</w:t>
            </w:r>
          </w:p>
        </w:tc>
        <w:tc>
          <w:tcPr>
            <w:tcW w:w="2006" w:type="dxa"/>
            <w:tcBorders>
              <w:right w:val="single" w:color="auto" w:sz="4" w:space="0"/>
            </w:tcBorders>
            <w:noWrap/>
            <w:vAlign w:val="center"/>
          </w:tcPr>
          <w:p w14:paraId="498C4807">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人员伤亡、财产损失</w:t>
            </w:r>
          </w:p>
        </w:tc>
      </w:tr>
      <w:tr w14:paraId="77FC52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3E0FE96C">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1D736628">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w:t>
            </w:r>
          </w:p>
        </w:tc>
        <w:tc>
          <w:tcPr>
            <w:tcW w:w="2915" w:type="dxa"/>
            <w:noWrap/>
            <w:vAlign w:val="center"/>
          </w:tcPr>
          <w:p w14:paraId="3EFDC09D">
            <w:pPr>
              <w:spacing w:line="320" w:lineRule="exact"/>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灼烫</w:t>
            </w:r>
          </w:p>
        </w:tc>
        <w:tc>
          <w:tcPr>
            <w:tcW w:w="2740" w:type="dxa"/>
            <w:noWrap/>
            <w:vAlign w:val="center"/>
          </w:tcPr>
          <w:p w14:paraId="5743A8C0">
            <w:pPr>
              <w:spacing w:line="320" w:lineRule="exact"/>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cs="Times New Roman"/>
                <w:color w:val="000000" w:themeColor="text1"/>
                <w:sz w:val="21"/>
                <w:szCs w:val="21"/>
                <w:lang w:eastAsia="zh-CN"/>
                <w14:textFill>
                  <w14:solidFill>
                    <w14:schemeClr w14:val="tx1"/>
                  </w14:solidFill>
                </w14:textFill>
              </w:rPr>
              <w:t>遂道窑、机修车间等</w:t>
            </w:r>
          </w:p>
        </w:tc>
        <w:tc>
          <w:tcPr>
            <w:tcW w:w="2006" w:type="dxa"/>
            <w:tcBorders>
              <w:right w:val="single" w:color="auto" w:sz="4" w:space="0"/>
            </w:tcBorders>
            <w:noWrap/>
            <w:vAlign w:val="center"/>
          </w:tcPr>
          <w:p w14:paraId="3C70AD34">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w:t>
            </w:r>
          </w:p>
        </w:tc>
      </w:tr>
      <w:tr w14:paraId="677960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36F27589">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1EB7E2F2">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11</w:t>
            </w:r>
          </w:p>
        </w:tc>
        <w:tc>
          <w:tcPr>
            <w:tcW w:w="2915" w:type="dxa"/>
            <w:noWrap/>
            <w:vAlign w:val="center"/>
          </w:tcPr>
          <w:p w14:paraId="05834553">
            <w:pPr>
              <w:spacing w:line="320" w:lineRule="exact"/>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起重伤害</w:t>
            </w:r>
          </w:p>
        </w:tc>
        <w:tc>
          <w:tcPr>
            <w:tcW w:w="2740" w:type="dxa"/>
            <w:noWrap/>
            <w:vAlign w:val="center"/>
          </w:tcPr>
          <w:p w14:paraId="569DECA6">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生产车间、厂区</w:t>
            </w:r>
          </w:p>
        </w:tc>
        <w:tc>
          <w:tcPr>
            <w:tcW w:w="2006" w:type="dxa"/>
            <w:tcBorders>
              <w:right w:val="single" w:color="auto" w:sz="4" w:space="0"/>
            </w:tcBorders>
            <w:noWrap/>
            <w:vAlign w:val="center"/>
          </w:tcPr>
          <w:p w14:paraId="25C71E35">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人员伤亡、财产损失</w:t>
            </w:r>
          </w:p>
        </w:tc>
      </w:tr>
      <w:tr w14:paraId="22D376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6D7BC71C">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428AD9C8">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12</w:t>
            </w:r>
          </w:p>
        </w:tc>
        <w:tc>
          <w:tcPr>
            <w:tcW w:w="2915" w:type="dxa"/>
            <w:noWrap/>
            <w:vAlign w:val="center"/>
          </w:tcPr>
          <w:p w14:paraId="15D742E5">
            <w:pPr>
              <w:spacing w:line="320" w:lineRule="exact"/>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淹溺</w:t>
            </w:r>
          </w:p>
        </w:tc>
        <w:tc>
          <w:tcPr>
            <w:tcW w:w="2740" w:type="dxa"/>
            <w:noWrap/>
            <w:vAlign w:val="center"/>
          </w:tcPr>
          <w:p w14:paraId="705F5A1E">
            <w:pPr>
              <w:spacing w:line="320" w:lineRule="exact"/>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污水处理</w:t>
            </w:r>
            <w:r>
              <w:rPr>
                <w:rFonts w:hint="eastAsia" w:ascii="Times New Roman" w:cs="Times New Roman"/>
                <w:color w:val="000000" w:themeColor="text1"/>
                <w:sz w:val="21"/>
                <w:szCs w:val="21"/>
                <w:lang w:eastAsia="zh-CN"/>
                <w14:textFill>
                  <w14:solidFill>
                    <w14:schemeClr w14:val="tx1"/>
                  </w14:solidFill>
                </w14:textFill>
              </w:rPr>
              <w:t>池</w:t>
            </w:r>
          </w:p>
        </w:tc>
        <w:tc>
          <w:tcPr>
            <w:tcW w:w="2006" w:type="dxa"/>
            <w:tcBorders>
              <w:right w:val="single" w:color="auto" w:sz="4" w:space="0"/>
            </w:tcBorders>
            <w:noWrap/>
            <w:vAlign w:val="center"/>
          </w:tcPr>
          <w:p w14:paraId="2547E9BE">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w:t>
            </w:r>
          </w:p>
        </w:tc>
      </w:tr>
      <w:tr w14:paraId="01A627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restart"/>
            <w:tcBorders>
              <w:left w:val="single" w:color="auto" w:sz="4" w:space="0"/>
            </w:tcBorders>
            <w:noWrap/>
            <w:vAlign w:val="center"/>
          </w:tcPr>
          <w:p w14:paraId="12F11517">
            <w:pPr>
              <w:spacing w:line="32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有害因素</w:t>
            </w:r>
          </w:p>
        </w:tc>
        <w:tc>
          <w:tcPr>
            <w:tcW w:w="514" w:type="dxa"/>
            <w:noWrap/>
            <w:vAlign w:val="center"/>
          </w:tcPr>
          <w:p w14:paraId="4D76D0F8">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2915" w:type="dxa"/>
            <w:noWrap/>
            <w:vAlign w:val="center"/>
          </w:tcPr>
          <w:p w14:paraId="4F9DD183">
            <w:pPr>
              <w:spacing w:line="320" w:lineRule="exact"/>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噪声</w:t>
            </w:r>
          </w:p>
        </w:tc>
        <w:tc>
          <w:tcPr>
            <w:tcW w:w="2740" w:type="dxa"/>
            <w:noWrap/>
            <w:vAlign w:val="center"/>
          </w:tcPr>
          <w:p w14:paraId="63A63FF5">
            <w:pPr>
              <w:spacing w:line="320" w:lineRule="exact"/>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破碎车间、制砖车间</w:t>
            </w:r>
          </w:p>
        </w:tc>
        <w:tc>
          <w:tcPr>
            <w:tcW w:w="2006" w:type="dxa"/>
            <w:tcBorders>
              <w:right w:val="single" w:color="auto" w:sz="4" w:space="0"/>
            </w:tcBorders>
            <w:noWrap/>
            <w:vAlign w:val="center"/>
          </w:tcPr>
          <w:p w14:paraId="2D225BDE">
            <w:pPr>
              <w:spacing w:line="320" w:lineRule="exact"/>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噪声性耳聋</w:t>
            </w:r>
          </w:p>
        </w:tc>
      </w:tr>
      <w:tr w14:paraId="3B1A34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51FBC1CA">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521A0808">
            <w:pPr>
              <w:spacing w:line="320" w:lineRule="exact"/>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2</w:t>
            </w:r>
          </w:p>
        </w:tc>
        <w:tc>
          <w:tcPr>
            <w:tcW w:w="2915" w:type="dxa"/>
            <w:noWrap/>
            <w:vAlign w:val="center"/>
          </w:tcPr>
          <w:p w14:paraId="665EBC92">
            <w:pPr>
              <w:spacing w:line="320" w:lineRule="exact"/>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粉尘</w:t>
            </w:r>
          </w:p>
        </w:tc>
        <w:tc>
          <w:tcPr>
            <w:tcW w:w="2740" w:type="dxa"/>
            <w:noWrap/>
            <w:vAlign w:val="center"/>
          </w:tcPr>
          <w:p w14:paraId="7A215422">
            <w:pPr>
              <w:spacing w:line="320" w:lineRule="exact"/>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生产车间</w:t>
            </w:r>
          </w:p>
        </w:tc>
        <w:tc>
          <w:tcPr>
            <w:tcW w:w="2006" w:type="dxa"/>
            <w:tcBorders>
              <w:right w:val="single" w:color="auto" w:sz="4" w:space="0"/>
            </w:tcBorders>
            <w:noWrap/>
            <w:vAlign w:val="center"/>
          </w:tcPr>
          <w:p w14:paraId="5FC8D02B">
            <w:pPr>
              <w:spacing w:line="320" w:lineRule="exact"/>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人员伤亡、财产损失</w:t>
            </w:r>
          </w:p>
        </w:tc>
      </w:tr>
      <w:tr w14:paraId="4D3CE2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restart"/>
            <w:tcBorders>
              <w:left w:val="single" w:color="auto" w:sz="4" w:space="0"/>
            </w:tcBorders>
            <w:noWrap/>
            <w:vAlign w:val="center"/>
          </w:tcPr>
          <w:p w14:paraId="65D56A1E">
            <w:pPr>
              <w:adjustRightInd w:val="0"/>
              <w:snapToGrid w:val="0"/>
              <w:spacing w:line="36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管理因素</w:t>
            </w:r>
          </w:p>
        </w:tc>
        <w:tc>
          <w:tcPr>
            <w:tcW w:w="514" w:type="dxa"/>
            <w:noWrap/>
            <w:vAlign w:val="center"/>
          </w:tcPr>
          <w:p w14:paraId="544FD6C4">
            <w:pPr>
              <w:adjustRightInd w:val="0"/>
              <w:snapToGrid w:val="0"/>
              <w:spacing w:line="36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2915" w:type="dxa"/>
            <w:noWrap/>
            <w:vAlign w:val="center"/>
          </w:tcPr>
          <w:p w14:paraId="21636DDA">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未建立安全生产管理机构或安全生产监督检查不到位</w:t>
            </w:r>
          </w:p>
        </w:tc>
        <w:tc>
          <w:tcPr>
            <w:tcW w:w="2740" w:type="dxa"/>
            <w:vMerge w:val="restart"/>
            <w:noWrap/>
            <w:vAlign w:val="center"/>
          </w:tcPr>
          <w:p w14:paraId="2E40E1DC">
            <w:pPr>
              <w:adjustRightInd w:val="0"/>
              <w:snapToGrid w:val="0"/>
              <w:spacing w:line="360" w:lineRule="exac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安全管理过程中，安全生产命令执行过程中</w:t>
            </w:r>
          </w:p>
        </w:tc>
        <w:tc>
          <w:tcPr>
            <w:tcW w:w="2006" w:type="dxa"/>
            <w:vMerge w:val="restart"/>
            <w:tcBorders>
              <w:right w:val="single" w:color="auto" w:sz="4" w:space="0"/>
            </w:tcBorders>
            <w:noWrap/>
            <w:vAlign w:val="center"/>
          </w:tcPr>
          <w:p w14:paraId="52D18AB9">
            <w:pPr>
              <w:adjustRightInd w:val="0"/>
              <w:snapToGrid w:val="0"/>
              <w:spacing w:line="36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人员伤亡</w:t>
            </w:r>
          </w:p>
        </w:tc>
      </w:tr>
      <w:tr w14:paraId="13ADA7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88" w:type="dxa"/>
            <w:vMerge w:val="continue"/>
            <w:tcBorders>
              <w:left w:val="single" w:color="auto" w:sz="4" w:space="0"/>
            </w:tcBorders>
            <w:noWrap/>
            <w:vAlign w:val="center"/>
          </w:tcPr>
          <w:p w14:paraId="07683E84">
            <w:pPr>
              <w:adjustRightInd w:val="0"/>
              <w:snapToGrid w:val="0"/>
              <w:spacing w:line="36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6801CEA8">
            <w:pPr>
              <w:adjustRightInd w:val="0"/>
              <w:snapToGrid w:val="0"/>
              <w:spacing w:line="36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p>
        </w:tc>
        <w:tc>
          <w:tcPr>
            <w:tcW w:w="2915" w:type="dxa"/>
            <w:noWrap/>
            <w:vAlign w:val="center"/>
          </w:tcPr>
          <w:p w14:paraId="693D9F22">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未建立安全生产责任制、安全管理制度及操作规程，或者不健全</w:t>
            </w:r>
          </w:p>
        </w:tc>
        <w:tc>
          <w:tcPr>
            <w:tcW w:w="2740" w:type="dxa"/>
            <w:vMerge w:val="continue"/>
            <w:noWrap/>
            <w:vAlign w:val="center"/>
          </w:tcPr>
          <w:p w14:paraId="51AA547D">
            <w:pPr>
              <w:adjustRightInd w:val="0"/>
              <w:snapToGrid w:val="0"/>
              <w:spacing w:line="360" w:lineRule="exact"/>
              <w:rPr>
                <w:rFonts w:hint="default" w:ascii="Times New Roman" w:hAnsi="Times New Roman" w:cs="Times New Roman"/>
                <w:color w:val="000000" w:themeColor="text1"/>
                <w:sz w:val="21"/>
                <w:szCs w:val="21"/>
                <w14:textFill>
                  <w14:solidFill>
                    <w14:schemeClr w14:val="tx1"/>
                  </w14:solidFill>
                </w14:textFill>
              </w:rPr>
            </w:pPr>
          </w:p>
        </w:tc>
        <w:tc>
          <w:tcPr>
            <w:tcW w:w="2006" w:type="dxa"/>
            <w:vMerge w:val="continue"/>
            <w:tcBorders>
              <w:right w:val="single" w:color="auto" w:sz="4" w:space="0"/>
            </w:tcBorders>
            <w:noWrap/>
            <w:vAlign w:val="center"/>
          </w:tcPr>
          <w:p w14:paraId="72B05A1F">
            <w:pPr>
              <w:adjustRightInd w:val="0"/>
              <w:snapToGrid w:val="0"/>
              <w:spacing w:line="360" w:lineRule="exact"/>
              <w:jc w:val="center"/>
              <w:rPr>
                <w:rFonts w:hint="default" w:ascii="Times New Roman" w:hAnsi="Times New Roman" w:cs="Times New Roman"/>
                <w:color w:val="000000" w:themeColor="text1"/>
                <w:sz w:val="21"/>
                <w:szCs w:val="21"/>
                <w14:textFill>
                  <w14:solidFill>
                    <w14:schemeClr w14:val="tx1"/>
                  </w14:solidFill>
                </w14:textFill>
              </w:rPr>
            </w:pPr>
          </w:p>
        </w:tc>
      </w:tr>
      <w:tr w14:paraId="116E2B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24F767BB">
            <w:pPr>
              <w:adjustRightInd w:val="0"/>
              <w:snapToGrid w:val="0"/>
              <w:spacing w:line="36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34DD4A12">
            <w:pPr>
              <w:adjustRightInd w:val="0"/>
              <w:snapToGrid w:val="0"/>
              <w:spacing w:line="36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p>
        </w:tc>
        <w:tc>
          <w:tcPr>
            <w:tcW w:w="2915" w:type="dxa"/>
            <w:noWrap/>
            <w:vAlign w:val="center"/>
          </w:tcPr>
          <w:p w14:paraId="559ACF2A">
            <w:pPr>
              <w:adjustRightInd w:val="0"/>
              <w:snapToGrid w:val="0"/>
              <w:spacing w:line="360" w:lineRule="exact"/>
              <w:jc w:val="both"/>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作业人员未取证上岗</w:t>
            </w:r>
          </w:p>
        </w:tc>
        <w:tc>
          <w:tcPr>
            <w:tcW w:w="2740" w:type="dxa"/>
            <w:vMerge w:val="continue"/>
            <w:noWrap/>
            <w:vAlign w:val="center"/>
          </w:tcPr>
          <w:p w14:paraId="7C3D4EAF">
            <w:pPr>
              <w:adjustRightInd w:val="0"/>
              <w:snapToGrid w:val="0"/>
              <w:spacing w:line="360" w:lineRule="exact"/>
              <w:rPr>
                <w:rFonts w:hint="default" w:ascii="Times New Roman" w:hAnsi="Times New Roman" w:cs="Times New Roman"/>
                <w:color w:val="000000" w:themeColor="text1"/>
                <w:sz w:val="21"/>
                <w:szCs w:val="21"/>
                <w14:textFill>
                  <w14:solidFill>
                    <w14:schemeClr w14:val="tx1"/>
                  </w14:solidFill>
                </w14:textFill>
              </w:rPr>
            </w:pPr>
          </w:p>
        </w:tc>
        <w:tc>
          <w:tcPr>
            <w:tcW w:w="2006" w:type="dxa"/>
            <w:vMerge w:val="continue"/>
            <w:tcBorders>
              <w:right w:val="single" w:color="auto" w:sz="4" w:space="0"/>
            </w:tcBorders>
            <w:noWrap/>
            <w:vAlign w:val="center"/>
          </w:tcPr>
          <w:p w14:paraId="10DB49C5">
            <w:pPr>
              <w:adjustRightInd w:val="0"/>
              <w:snapToGrid w:val="0"/>
              <w:spacing w:line="360" w:lineRule="exact"/>
              <w:jc w:val="center"/>
              <w:rPr>
                <w:rFonts w:hint="default" w:ascii="Times New Roman" w:hAnsi="Times New Roman" w:cs="Times New Roman"/>
                <w:color w:val="000000" w:themeColor="text1"/>
                <w:sz w:val="21"/>
                <w:szCs w:val="21"/>
                <w14:textFill>
                  <w14:solidFill>
                    <w14:schemeClr w14:val="tx1"/>
                  </w14:solidFill>
                </w14:textFill>
              </w:rPr>
            </w:pPr>
          </w:p>
        </w:tc>
      </w:tr>
      <w:tr w14:paraId="548131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6CC4C1E3">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514" w:type="dxa"/>
            <w:noWrap/>
            <w:vAlign w:val="center"/>
          </w:tcPr>
          <w:p w14:paraId="4B85A214">
            <w:pPr>
              <w:spacing w:line="320" w:lineRule="exact"/>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2915" w:type="dxa"/>
            <w:noWrap/>
            <w:vAlign w:val="center"/>
          </w:tcPr>
          <w:p w14:paraId="51AC0F47">
            <w:pPr>
              <w:spacing w:line="320" w:lineRule="exact"/>
              <w:jc w:val="both"/>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违章指挥、违章操作</w:t>
            </w:r>
          </w:p>
        </w:tc>
        <w:tc>
          <w:tcPr>
            <w:tcW w:w="2740" w:type="dxa"/>
            <w:vMerge w:val="continue"/>
            <w:noWrap/>
            <w:vAlign w:val="center"/>
          </w:tcPr>
          <w:p w14:paraId="6A6540B7">
            <w:pPr>
              <w:spacing w:line="320" w:lineRule="exact"/>
              <w:rPr>
                <w:rFonts w:hint="default" w:ascii="Times New Roman" w:hAnsi="Times New Roman" w:cs="Times New Roman"/>
                <w:color w:val="000000" w:themeColor="text1"/>
                <w:sz w:val="21"/>
                <w:szCs w:val="21"/>
                <w14:textFill>
                  <w14:solidFill>
                    <w14:schemeClr w14:val="tx1"/>
                  </w14:solidFill>
                </w14:textFill>
              </w:rPr>
            </w:pPr>
          </w:p>
        </w:tc>
        <w:tc>
          <w:tcPr>
            <w:tcW w:w="2006" w:type="dxa"/>
            <w:vMerge w:val="continue"/>
            <w:tcBorders>
              <w:right w:val="single" w:color="auto" w:sz="4" w:space="0"/>
            </w:tcBorders>
            <w:noWrap/>
            <w:vAlign w:val="center"/>
          </w:tcPr>
          <w:p w14:paraId="6F299994">
            <w:pPr>
              <w:spacing w:line="260" w:lineRule="exact"/>
              <w:rPr>
                <w:rFonts w:hint="default" w:ascii="Times New Roman" w:hAnsi="Times New Roman" w:cs="Times New Roman"/>
                <w:color w:val="000000" w:themeColor="text1"/>
                <w:sz w:val="21"/>
                <w:szCs w:val="21"/>
                <w14:textFill>
                  <w14:solidFill>
                    <w14:schemeClr w14:val="tx1"/>
                  </w14:solidFill>
                </w14:textFill>
              </w:rPr>
            </w:pPr>
          </w:p>
        </w:tc>
      </w:tr>
    </w:tbl>
    <w:p w14:paraId="58288544">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901" w:name="_Toc20900"/>
      <w:bookmarkStart w:id="902" w:name="_Toc4206"/>
      <w:bookmarkStart w:id="903" w:name="_Toc4435"/>
      <w:bookmarkStart w:id="904" w:name="_Toc28992"/>
      <w:r>
        <w:rPr>
          <w:rFonts w:hint="default" w:ascii="Times New Roman" w:hAnsi="Times New Roman" w:eastAsia="楷体" w:cs="Times New Roman"/>
          <w:color w:val="000000" w:themeColor="text1"/>
          <w14:textFill>
            <w14:solidFill>
              <w14:schemeClr w14:val="tx1"/>
            </w14:solidFill>
          </w14:textFill>
        </w:rPr>
        <w:t>7.2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需要重点防范和控制的危险、有害因素</w:t>
      </w:r>
      <w:bookmarkEnd w:id="901"/>
      <w:bookmarkEnd w:id="902"/>
      <w:bookmarkEnd w:id="903"/>
      <w:bookmarkEnd w:id="904"/>
    </w:p>
    <w:tbl>
      <w:tblPr>
        <w:tblStyle w:val="5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3545"/>
        <w:gridCol w:w="850"/>
        <w:gridCol w:w="3510"/>
      </w:tblGrid>
      <w:tr w14:paraId="1345C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67" w:type="pct"/>
            <w:vAlign w:val="center"/>
          </w:tcPr>
          <w:p w14:paraId="326E2CE0">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序号</w:t>
            </w:r>
          </w:p>
        </w:tc>
        <w:tc>
          <w:tcPr>
            <w:tcW w:w="2032" w:type="pct"/>
            <w:vAlign w:val="center"/>
          </w:tcPr>
          <w:p w14:paraId="6E7BC03F">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危险、有害因素</w:t>
            </w:r>
          </w:p>
        </w:tc>
        <w:tc>
          <w:tcPr>
            <w:tcW w:w="487" w:type="pct"/>
            <w:vAlign w:val="center"/>
          </w:tcPr>
          <w:p w14:paraId="133078E7">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序号</w:t>
            </w:r>
          </w:p>
        </w:tc>
        <w:tc>
          <w:tcPr>
            <w:tcW w:w="2012" w:type="pct"/>
            <w:vAlign w:val="center"/>
          </w:tcPr>
          <w:p w14:paraId="3D52F4E2">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危险、有害因素</w:t>
            </w:r>
          </w:p>
        </w:tc>
      </w:tr>
      <w:tr w14:paraId="34EA1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67" w:type="pct"/>
            <w:vAlign w:val="center"/>
          </w:tcPr>
          <w:p w14:paraId="2D2E6711">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2032" w:type="pct"/>
            <w:vAlign w:val="center"/>
          </w:tcPr>
          <w:p w14:paraId="49A6CAD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机械伤害</w:t>
            </w:r>
          </w:p>
        </w:tc>
        <w:tc>
          <w:tcPr>
            <w:tcW w:w="487" w:type="pct"/>
            <w:vAlign w:val="center"/>
          </w:tcPr>
          <w:p w14:paraId="249E128C">
            <w:pPr>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3</w:t>
            </w:r>
          </w:p>
        </w:tc>
        <w:tc>
          <w:tcPr>
            <w:tcW w:w="2012" w:type="pct"/>
            <w:vAlign w:val="center"/>
          </w:tcPr>
          <w:p w14:paraId="1D8ECCB2">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中毒</w:t>
            </w:r>
            <w:r>
              <w:rPr>
                <w:rFonts w:hint="default" w:ascii="Times New Roman" w:hAnsi="Times New Roman" w:cs="Times New Roman"/>
                <w:color w:val="000000" w:themeColor="text1"/>
                <w:sz w:val="21"/>
                <w:szCs w:val="21"/>
                <w:lang w:eastAsia="zh-CN"/>
                <w14:textFill>
                  <w14:solidFill>
                    <w14:schemeClr w14:val="tx1"/>
                  </w14:solidFill>
                </w14:textFill>
              </w:rPr>
              <w:t>和</w:t>
            </w:r>
            <w:r>
              <w:rPr>
                <w:rFonts w:hint="default" w:ascii="Times New Roman" w:hAnsi="Times New Roman" w:cs="Times New Roman"/>
                <w:color w:val="000000" w:themeColor="text1"/>
                <w:sz w:val="21"/>
                <w:szCs w:val="21"/>
                <w14:textFill>
                  <w14:solidFill>
                    <w14:schemeClr w14:val="tx1"/>
                  </w14:solidFill>
                </w14:textFill>
              </w:rPr>
              <w:t>窒息</w:t>
            </w:r>
          </w:p>
        </w:tc>
      </w:tr>
      <w:tr w14:paraId="38739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67" w:type="pct"/>
            <w:vAlign w:val="center"/>
          </w:tcPr>
          <w:p w14:paraId="2FB878D1">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w:t>
            </w:r>
          </w:p>
        </w:tc>
        <w:tc>
          <w:tcPr>
            <w:tcW w:w="2032" w:type="pct"/>
            <w:vAlign w:val="center"/>
          </w:tcPr>
          <w:p w14:paraId="240AAB6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触电</w:t>
            </w:r>
          </w:p>
        </w:tc>
        <w:tc>
          <w:tcPr>
            <w:tcW w:w="487" w:type="pct"/>
            <w:vAlign w:val="center"/>
          </w:tcPr>
          <w:p w14:paraId="12344F13">
            <w:pPr>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4</w:t>
            </w:r>
          </w:p>
        </w:tc>
        <w:tc>
          <w:tcPr>
            <w:tcW w:w="2012" w:type="pct"/>
            <w:vAlign w:val="center"/>
          </w:tcPr>
          <w:p w14:paraId="25D40AF9">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bCs/>
                <w:color w:val="000000" w:themeColor="text1"/>
                <w:sz w:val="21"/>
                <w:szCs w:val="21"/>
                <w:lang w:val="en-US" w:eastAsia="zh-CN"/>
                <w14:textFill>
                  <w14:solidFill>
                    <w14:schemeClr w14:val="tx1"/>
                  </w14:solidFill>
                </w14:textFill>
              </w:rPr>
              <w:t>容器爆炸</w:t>
            </w:r>
          </w:p>
        </w:tc>
      </w:tr>
      <w:bookmarkEnd w:id="891"/>
      <w:bookmarkEnd w:id="892"/>
      <w:bookmarkEnd w:id="893"/>
      <w:bookmarkEnd w:id="894"/>
    </w:tbl>
    <w:p w14:paraId="17D534B7">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905" w:name="_Toc22567"/>
      <w:bookmarkStart w:id="906" w:name="_Toc14604"/>
      <w:bookmarkStart w:id="907" w:name="_Toc29866"/>
      <w:bookmarkStart w:id="908" w:name="_Toc18539"/>
      <w:r>
        <w:rPr>
          <w:rFonts w:hint="default" w:ascii="Times New Roman" w:hAnsi="Times New Roman" w:eastAsia="楷体" w:cs="Times New Roman"/>
          <w:color w:val="000000" w:themeColor="text1"/>
          <w14:textFill>
            <w14:solidFill>
              <w14:schemeClr w14:val="tx1"/>
            </w14:solidFill>
          </w14:textFill>
        </w:rPr>
        <w:t>7.3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安全评价结论</w:t>
      </w:r>
      <w:bookmarkEnd w:id="905"/>
      <w:bookmarkEnd w:id="906"/>
      <w:bookmarkEnd w:id="907"/>
      <w:bookmarkEnd w:id="908"/>
    </w:p>
    <w:p w14:paraId="124E386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昭通市鼎安科技有限公司依据安全评价相关法规，对该项目严格按照安全评价过程控制程序，依据各单元主要危险、有害因素辨识、定性定量分析结果、得出如下安全现状评价综合结论：</w:t>
      </w:r>
    </w:p>
    <w:bookmarkEnd w:id="276"/>
    <w:bookmarkEnd w:id="277"/>
    <w:bookmarkEnd w:id="278"/>
    <w:p w14:paraId="6841BB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项目平面布置</w:t>
      </w:r>
      <w:r>
        <w:rPr>
          <w:rFonts w:hint="eastAsia" w:ascii="宋体" w:hAnsi="宋体" w:eastAsia="宋体" w:cs="宋体"/>
          <w:color w:val="000000" w:themeColor="text1"/>
          <w:sz w:val="28"/>
          <w:szCs w:val="28"/>
          <w:lang w:val="en-US" w:eastAsia="zh-CN"/>
          <w14:textFill>
            <w14:solidFill>
              <w14:schemeClr w14:val="tx1"/>
            </w14:solidFill>
          </w14:textFill>
        </w:rPr>
        <w:t>符合</w:t>
      </w:r>
      <w:r>
        <w:rPr>
          <w:rFonts w:hint="eastAsia" w:ascii="宋体" w:hAnsi="宋体" w:eastAsia="宋体" w:cs="宋体"/>
          <w:color w:val="000000" w:themeColor="text1"/>
          <w:sz w:val="28"/>
          <w:szCs w:val="28"/>
          <w14:textFill>
            <w14:solidFill>
              <w14:schemeClr w14:val="tx1"/>
            </w14:solidFill>
          </w14:textFill>
        </w:rPr>
        <w:t>《工业企业总平面设计规范》（</w:t>
      </w:r>
      <w:r>
        <w:rPr>
          <w:rFonts w:hint="eastAsia" w:ascii="宋体" w:hAnsi="宋体" w:eastAsia="宋体" w:cs="宋体"/>
          <w:color w:val="000000" w:themeColor="text1"/>
          <w:sz w:val="28"/>
          <w:szCs w:val="28"/>
          <w:lang w:val="zh-CN"/>
          <w14:textFill>
            <w14:solidFill>
              <w14:schemeClr w14:val="tx1"/>
            </w14:solidFill>
          </w14:textFill>
        </w:rPr>
        <w:t>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50187-2012）、《工业企业厂内铁路、道路运输安全规程》（GB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4387-2008）</w:t>
      </w:r>
      <w:r>
        <w:rPr>
          <w:rFonts w:hint="eastAsia" w:ascii="宋体" w:hAnsi="宋体" w:eastAsia="宋体" w:cs="宋体"/>
          <w:color w:val="000000" w:themeColor="text1"/>
          <w:sz w:val="28"/>
          <w:szCs w:val="28"/>
          <w14:textFill>
            <w14:solidFill>
              <w14:schemeClr w14:val="tx1"/>
            </w14:solidFill>
          </w14:textFill>
        </w:rPr>
        <w:t>和《建筑设计防火规范〔2018</w:t>
      </w:r>
      <w:r>
        <w:rPr>
          <w:rFonts w:hint="eastAsia" w:hAnsi="宋体" w:cs="宋体"/>
          <w:color w:val="000000" w:themeColor="text1"/>
          <w:sz w:val="28"/>
          <w:szCs w:val="28"/>
          <w:lang w:val="en-US" w:eastAsia="zh-CN"/>
          <w14:textFill>
            <w14:solidFill>
              <w14:schemeClr w14:val="tx1"/>
            </w14:solidFill>
          </w14:textFill>
        </w:rPr>
        <w:t>年</w:t>
      </w:r>
      <w:r>
        <w:rPr>
          <w:rFonts w:hint="eastAsia" w:ascii="宋体" w:hAnsi="宋体" w:eastAsia="宋体" w:cs="宋体"/>
          <w:color w:val="000000" w:themeColor="text1"/>
          <w:sz w:val="28"/>
          <w:szCs w:val="28"/>
          <w14:textFill>
            <w14:solidFill>
              <w14:schemeClr w14:val="tx1"/>
            </w14:solidFill>
          </w14:textFill>
        </w:rPr>
        <w:t>版〕》（GB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50016-2014）中的</w:t>
      </w:r>
      <w:r>
        <w:rPr>
          <w:rFonts w:hint="eastAsia" w:ascii="宋体" w:hAnsi="宋体" w:eastAsia="宋体" w:cs="宋体"/>
          <w:color w:val="000000" w:themeColor="text1"/>
          <w:sz w:val="28"/>
          <w:szCs w:val="28"/>
          <w:lang w:val="en-US" w:eastAsia="zh-CN"/>
          <w14:textFill>
            <w14:solidFill>
              <w14:schemeClr w14:val="tx1"/>
            </w14:solidFill>
          </w14:textFill>
        </w:rPr>
        <w:t>规范要求</w:t>
      </w:r>
      <w:r>
        <w:rPr>
          <w:rFonts w:hint="eastAsia" w:ascii="宋体" w:hAnsi="宋体" w:eastAsia="宋体" w:cs="宋体"/>
          <w:color w:val="000000" w:themeColor="text1"/>
          <w:sz w:val="28"/>
          <w:szCs w:val="28"/>
          <w14:textFill>
            <w14:solidFill>
              <w14:schemeClr w14:val="tx1"/>
            </w14:solidFill>
          </w14:textFill>
        </w:rPr>
        <w:t>。</w:t>
      </w:r>
    </w:p>
    <w:p w14:paraId="0F1C2D5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该项目的生产工艺设备设施符合《生产设备安全卫生设计总则》（GB5083-</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）、《生产过程安全卫生要求总则》（GB/T 12801-2008）、《烧结砖瓦工厂设计规范》（GB 50701-2011）、《中华人民共和国安全生产法》（中华人民共和国主席令第88号，2021年修订）、</w:t>
      </w:r>
      <w:r>
        <w:rPr>
          <w:rFonts w:hint="eastAsia" w:ascii="宋体" w:hAnsi="宋体" w:eastAsia="宋体" w:cs="宋体"/>
          <w:color w:val="000000" w:themeColor="text1"/>
          <w:kern w:val="0"/>
          <w:sz w:val="28"/>
          <w:szCs w:val="28"/>
          <w14:textFill>
            <w14:solidFill>
              <w14:schemeClr w14:val="tx1"/>
            </w14:solidFill>
          </w14:textFill>
        </w:rPr>
        <w:t>《压力容器定期检验规则》（TSG R7001-2013）</w:t>
      </w:r>
      <w:r>
        <w:rPr>
          <w:rFonts w:hint="eastAsia" w:ascii="宋体" w:hAnsi="宋体" w:eastAsia="宋体" w:cs="宋体"/>
          <w:color w:val="000000" w:themeColor="text1"/>
          <w:sz w:val="28"/>
          <w:szCs w:val="28"/>
          <w14:textFill>
            <w14:solidFill>
              <w14:schemeClr w14:val="tx1"/>
            </w14:solidFill>
          </w14:textFill>
        </w:rPr>
        <w:t>等相关规范的要求。</w:t>
      </w:r>
    </w:p>
    <w:p w14:paraId="171174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p>
    <w:p w14:paraId="17D85E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该项目的安全防护设施符合《安全色》（GB2893-2008）、《安全标志及其使用导则》（GB2894-2008）、《机械安全防护装置固定式和活动式防护装置的设计与制造一般要求》（GB/T8196-2018）、《机械工业职业安全卫生设计规范》（JBJ18-2000）等国家相关标准、规范的规定和要求。</w:t>
      </w:r>
    </w:p>
    <w:p w14:paraId="48DAED2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该项目的供配电系统、给排水、消防设施等公辅设施能够满足生产的需要。</w:t>
      </w:r>
    </w:p>
    <w:p w14:paraId="62B45A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．该公司任命了专职安全员对生产安全进行管理。主要负责人、特种作业人员均取得了安全培训合格证。</w:t>
      </w:r>
    </w:p>
    <w:p w14:paraId="0D0826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6</w:t>
      </w:r>
      <w:r>
        <w:rPr>
          <w:rFonts w:hint="eastAsia" w:ascii="宋体" w:hAnsi="宋体" w:eastAsia="宋体" w:cs="宋体"/>
          <w:color w:val="000000" w:themeColor="text1"/>
          <w:sz w:val="28"/>
          <w:szCs w:val="28"/>
          <w14:textFill>
            <w14:solidFill>
              <w14:schemeClr w14:val="tx1"/>
            </w14:solidFill>
          </w14:textFill>
        </w:rPr>
        <w:t>．该公司证照齐全有效，各级人员安全职责明确，安全生产责任制、管理制度、操作规程、生产安全事故应急预案基本健全、可行，并能切实得到落实。</w:t>
      </w:r>
    </w:p>
    <w:p w14:paraId="1FBD44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．该公司为员工购买了工伤保险，从业人员配发了相应的劳动防护用品，并对日常的佩戴使用情况进行检查。</w:t>
      </w:r>
    </w:p>
    <w:p w14:paraId="1A18378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.根据《工贸企业重大事故隐患判定标准》（应急管理部令〔</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〕第10号），该厂无重大事故隐患</w:t>
      </w:r>
      <w:r>
        <w:rPr>
          <w:rFonts w:hint="eastAsia" w:ascii="宋体" w:hAnsi="宋体" w:eastAsia="宋体" w:cs="宋体"/>
          <w:color w:val="000000" w:themeColor="text1"/>
          <w:sz w:val="28"/>
          <w:szCs w:val="28"/>
          <w:lang w:eastAsia="zh-CN"/>
          <w14:textFill>
            <w14:solidFill>
              <w14:schemeClr w14:val="tx1"/>
            </w14:solidFill>
          </w14:textFill>
        </w:rPr>
        <w:t>。</w:t>
      </w:r>
    </w:p>
    <w:p w14:paraId="0F4CADAE">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color w:val="000000" w:themeColor="text1"/>
          <w:kern w:val="0"/>
          <w:sz w:val="28"/>
          <w:szCs w:val="28"/>
          <w:lang w:eastAsia="zh-TW"/>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综上所述，评价组认为：牟定乾泰建材有限公司年产9000万块页岩多孔空心砖生产线技术改造项目从安全生产角度分析评价符合国家有关法律、法规、标准、规范的相关要求，</w:t>
      </w:r>
      <w:r>
        <w:rPr>
          <w:rFonts w:hint="eastAsia" w:ascii="宋体" w:hAnsi="宋体" w:eastAsia="宋体" w:cs="宋体"/>
          <w:b/>
          <w:color w:val="000000" w:themeColor="text1"/>
          <w:kern w:val="0"/>
          <w:sz w:val="28"/>
          <w:szCs w:val="28"/>
          <w14:textFill>
            <w14:solidFill>
              <w14:schemeClr w14:val="tx1"/>
            </w14:solidFill>
          </w14:textFill>
        </w:rPr>
        <w:t>其现状具备安全生产条件</w:t>
      </w:r>
      <w:r>
        <w:rPr>
          <w:rFonts w:hint="eastAsia" w:ascii="宋体" w:hAnsi="宋体" w:eastAsia="宋体" w:cs="宋体"/>
          <w:b/>
          <w:snapToGrid w:val="0"/>
          <w:color w:val="000000" w:themeColor="text1"/>
          <w:kern w:val="0"/>
          <w:sz w:val="28"/>
          <w:szCs w:val="21"/>
          <w14:textFill>
            <w14:solidFill>
              <w14:schemeClr w14:val="tx1"/>
            </w14:solidFill>
          </w14:textFill>
        </w:rPr>
        <w:t>。</w:t>
      </w:r>
    </w:p>
    <w:p w14:paraId="1BDF66E7">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snapToGrid w:val="0"/>
          <w:color w:val="000000" w:themeColor="text1"/>
          <w:kern w:val="0"/>
          <w:sz w:val="28"/>
          <w:szCs w:val="21"/>
          <w14:textFill>
            <w14:solidFill>
              <w14:schemeClr w14:val="tx1"/>
            </w14:solidFill>
          </w14:textFill>
        </w:rPr>
      </w:pPr>
      <w:r>
        <w:rPr>
          <w:rFonts w:hint="eastAsia" w:ascii="宋体" w:hAnsi="宋体" w:eastAsia="宋体" w:cs="宋体"/>
          <w:snapToGrid w:val="0"/>
          <w:color w:val="000000" w:themeColor="text1"/>
          <w:kern w:val="0"/>
          <w:sz w:val="28"/>
          <w:szCs w:val="21"/>
          <w14:textFill>
            <w14:solidFill>
              <w14:schemeClr w14:val="tx1"/>
            </w14:solidFill>
          </w14:textFill>
        </w:rPr>
        <w:t>总之，企业生产是一个动态的过程，企业在今后的生产过程中，应根据生产条件的变化，把安全管理工作贯穿于生产的全过程，不断完善企业安全管理，依靠科技进步提升安全技术水平，防止安全事故的发生，实现本质化安全，切实保障人民生命和财产的安全。</w:t>
      </w:r>
      <w:bookmarkStart w:id="909" w:name="_Toc365119562"/>
      <w:bookmarkStart w:id="910" w:name="_Toc403746198"/>
    </w:p>
    <w:bookmarkEnd w:id="909"/>
    <w:bookmarkEnd w:id="910"/>
    <w:p w14:paraId="0BF44F79">
      <w:pPr>
        <w:spacing w:line="500" w:lineRule="exact"/>
        <w:ind w:firstLine="560" w:firstLineChars="200"/>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br w:type="page"/>
      </w:r>
    </w:p>
    <w:p w14:paraId="372498FF">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default" w:ascii="Times New Roman" w:hAnsi="Times New Roman" w:eastAsia="黑体" w:cs="Times New Roman"/>
          <w:color w:val="000000" w:themeColor="text1"/>
          <w14:textFill>
            <w14:solidFill>
              <w14:schemeClr w14:val="tx1"/>
            </w14:solidFill>
          </w14:textFill>
        </w:rPr>
      </w:pPr>
      <w:bookmarkStart w:id="911" w:name="_Toc11905"/>
      <w:bookmarkStart w:id="912" w:name="_Toc30658"/>
      <w:r>
        <w:rPr>
          <w:rFonts w:hint="default" w:ascii="Times New Roman" w:hAnsi="Times New Roman" w:eastAsia="黑体" w:cs="Times New Roman"/>
          <w:color w:val="000000" w:themeColor="text1"/>
          <w14:textFill>
            <w14:solidFill>
              <w14:schemeClr w14:val="tx1"/>
            </w14:solidFill>
          </w14:textFill>
        </w:rPr>
        <w:t>第8章  与企业交换的意见</w:t>
      </w:r>
      <w:bookmarkEnd w:id="911"/>
      <w:bookmarkEnd w:id="912"/>
    </w:p>
    <w:p w14:paraId="4287F00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cs="Times New Roman" w:asciiTheme="minorEastAsia" w:hAnsiTheme="minorEastAsia" w:eastAsiaTheme="minorEastAsia"/>
          <w:color w:val="000000" w:themeColor="text1"/>
          <w:sz w:val="28"/>
          <w:szCs w:val="28"/>
          <w:lang w:val="en-US" w:eastAsia="zh-CN" w:bidi="ar-SA"/>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评价组通过对项目的现场实地调查和评价，在现场向企业负责人指出不符合项目，建议企业今后进行完善，企业已根据评价组出具的意见完成了整改，出具了整改报告</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r>
        <w:rPr>
          <w:rFonts w:hint="eastAsia" w:cs="Times New Roman" w:asciiTheme="minorEastAsia" w:hAnsiTheme="minorEastAsia" w:eastAsiaTheme="minorEastAsia"/>
          <w:color w:val="000000" w:themeColor="text1"/>
          <w:sz w:val="28"/>
          <w:szCs w:val="28"/>
          <w:lang w:val="en-US" w:eastAsia="zh-CN" w:bidi="ar-SA"/>
          <w14:textFill>
            <w14:solidFill>
              <w14:schemeClr w14:val="tx1"/>
            </w14:solidFill>
          </w14:textFill>
        </w:rPr>
        <w:t>企业应加强《中华人民共和国安全生产法》及其他有关安全生产的法律、法规的学习，加强安全管理，定期组织应急演练，完善演练记录，加强员工的安全教育培训，完善培训记录，</w:t>
      </w:r>
      <w:r>
        <w:rPr>
          <w:rFonts w:hint="eastAsia" w:cs="Times New Roman" w:asciiTheme="minorEastAsia" w:hAnsiTheme="minorEastAsia" w:eastAsiaTheme="minorEastAsia"/>
          <w:color w:val="0000FF"/>
          <w:sz w:val="28"/>
          <w:szCs w:val="28"/>
          <w:lang w:val="en-US" w:eastAsia="zh-CN" w:bidi="ar-SA"/>
        </w:rPr>
        <w:t>安全管理人员尽快取证培训。</w:t>
      </w:r>
      <w:r>
        <w:rPr>
          <w:rFonts w:hint="eastAsia" w:cs="Times New Roman" w:asciiTheme="minorEastAsia" w:hAnsiTheme="minorEastAsia" w:eastAsiaTheme="minorEastAsia"/>
          <w:color w:val="0000FF"/>
          <w:sz w:val="28"/>
          <w:szCs w:val="28"/>
          <w:lang w:val="en-US" w:eastAsia="zh-CN" w:bidi="ar-SA"/>
        </w:rPr>
        <w:t>尽快创建安全生产标准化和安全风险分级管控和隐患排查治理双重预防机制，</w:t>
      </w:r>
      <w:r>
        <w:rPr>
          <w:rFonts w:hint="eastAsia" w:cs="Times New Roman" w:asciiTheme="minorEastAsia" w:hAnsiTheme="minorEastAsia" w:eastAsiaTheme="minorEastAsia"/>
          <w:color w:val="000000" w:themeColor="text1"/>
          <w:sz w:val="28"/>
          <w:szCs w:val="28"/>
          <w:lang w:val="en-US" w:eastAsia="zh-CN" w:bidi="ar-SA"/>
          <w14:textFill>
            <w14:solidFill>
              <w14:schemeClr w14:val="tx1"/>
            </w14:solidFill>
          </w14:textFill>
        </w:rPr>
        <w:t>健全风险防范化解机制，提高安全生产水平，确保安全生产。</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企业</w:t>
      </w:r>
      <w:r>
        <w:rPr>
          <w:rFonts w:hint="eastAsia" w:asciiTheme="minorEastAsia" w:hAnsiTheme="minorEastAsia" w:eastAsiaTheme="minorEastAsia"/>
          <w:color w:val="000000" w:themeColor="text1"/>
          <w:sz w:val="28"/>
          <w:szCs w:val="28"/>
          <w14:textFill>
            <w14:solidFill>
              <w14:schemeClr w14:val="tx1"/>
            </w14:solidFill>
          </w14:textFill>
        </w:rPr>
        <w:t>负责人表示会</w:t>
      </w:r>
      <w:r>
        <w:rPr>
          <w:rFonts w:hint="eastAsia" w:asciiTheme="minorEastAsia" w:hAnsiTheme="minorEastAsia" w:eastAsiaTheme="minorEastAsia"/>
          <w:color w:val="000000" w:themeColor="text1"/>
          <w:sz w:val="28"/>
          <w:szCs w:val="28"/>
          <w:lang w:eastAsia="zh-CN"/>
          <w14:textFill>
            <w14:solidFill>
              <w14:schemeClr w14:val="tx1"/>
            </w14:solidFill>
          </w14:textFill>
        </w:rPr>
        <w:t>加强有关安全生产的法律、法规的学习，依法办事，加强安全管理，</w:t>
      </w:r>
      <w:r>
        <w:rPr>
          <w:rFonts w:hint="eastAsia" w:asciiTheme="minorEastAsia" w:hAnsiTheme="minorEastAsia" w:eastAsiaTheme="minorEastAsia"/>
          <w:color w:val="000000" w:themeColor="text1"/>
          <w:sz w:val="28"/>
          <w:szCs w:val="28"/>
          <w14:textFill>
            <w14:solidFill>
              <w14:schemeClr w14:val="tx1"/>
            </w14:solidFill>
          </w14:textFill>
        </w:rPr>
        <w:t>进一步完善应急演练、</w:t>
      </w:r>
      <w:r>
        <w:rPr>
          <w:rFonts w:hint="eastAsia" w:asciiTheme="minorEastAsia" w:hAnsiTheme="minorEastAsia" w:eastAsiaTheme="minorEastAsia"/>
          <w:color w:val="000000" w:themeColor="text1"/>
          <w:sz w:val="28"/>
          <w:szCs w:val="28"/>
          <w:lang w:eastAsia="zh-CN"/>
          <w14:textFill>
            <w14:solidFill>
              <w14:schemeClr w14:val="tx1"/>
            </w14:solidFill>
          </w14:textFill>
        </w:rPr>
        <w:t>安全教育培训、</w:t>
      </w:r>
      <w:r>
        <w:rPr>
          <w:rFonts w:hint="eastAsia" w:asciiTheme="minorEastAsia" w:hAnsiTheme="minorEastAsia" w:eastAsiaTheme="minorEastAsia"/>
          <w:color w:val="000000" w:themeColor="text1"/>
          <w:sz w:val="28"/>
          <w:szCs w:val="28"/>
          <w14:textFill>
            <w14:solidFill>
              <w14:schemeClr w14:val="tx1"/>
            </w14:solidFill>
          </w14:textFill>
        </w:rPr>
        <w:t>安全管理制度</w:t>
      </w:r>
      <w:r>
        <w:rPr>
          <w:rFonts w:hint="eastAsia" w:asciiTheme="minorEastAsia" w:hAnsiTheme="minorEastAsia" w:eastAsiaTheme="minorEastAsia"/>
          <w:color w:val="000000" w:themeColor="text1"/>
          <w:sz w:val="28"/>
          <w:szCs w:val="28"/>
          <w:lang w:eastAsia="zh-CN"/>
          <w14:textFill>
            <w14:solidFill>
              <w14:schemeClr w14:val="tx1"/>
            </w14:solidFill>
          </w14:textFill>
        </w:rPr>
        <w:t>建设</w:t>
      </w:r>
      <w:r>
        <w:rPr>
          <w:rFonts w:hint="eastAsia" w:asciiTheme="minorEastAsia" w:hAnsiTheme="minorEastAsia" w:eastAsiaTheme="minorEastAsia"/>
          <w:color w:val="000000" w:themeColor="text1"/>
          <w:sz w:val="28"/>
          <w:szCs w:val="28"/>
          <w14:textFill>
            <w14:solidFill>
              <w14:schemeClr w14:val="tx1"/>
            </w14:solidFill>
          </w14:textFill>
        </w:rPr>
        <w:t>等管理内容，</w:t>
      </w:r>
      <w:r>
        <w:rPr>
          <w:rFonts w:hint="eastAsia" w:asciiTheme="minorEastAsia" w:hAnsiTheme="minorEastAsia" w:eastAsiaTheme="minorEastAsia"/>
          <w:color w:val="000000" w:themeColor="text1"/>
          <w:sz w:val="28"/>
          <w:szCs w:val="28"/>
          <w:lang w:eastAsia="zh-CN"/>
          <w14:textFill>
            <w14:solidFill>
              <w14:schemeClr w14:val="tx1"/>
            </w14:solidFill>
          </w14:textFill>
        </w:rPr>
        <w:t>进一步抓好现场管理，完善各类安全管理台账资料，</w:t>
      </w:r>
      <w:r>
        <w:rPr>
          <w:rFonts w:hint="eastAsia" w:asciiTheme="minorEastAsia" w:hAnsiTheme="minorEastAsia" w:eastAsiaTheme="minorEastAsia"/>
          <w:color w:val="000000" w:themeColor="text1"/>
          <w:sz w:val="28"/>
          <w:szCs w:val="28"/>
          <w14:textFill>
            <w14:solidFill>
              <w14:schemeClr w14:val="tx1"/>
            </w14:solidFill>
          </w14:textFill>
        </w:rPr>
        <w:t>进一步提高安全生产水平。</w:t>
      </w:r>
    </w:p>
    <w:p w14:paraId="0D86CC87">
      <w:pPr>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br w:type="page"/>
      </w:r>
    </w:p>
    <w:p w14:paraId="70E42919">
      <w:pPr>
        <w:pStyle w:val="4"/>
        <w:keepNext/>
        <w:keepLines/>
        <w:pageBreakBefore w:val="0"/>
        <w:widowControl w:val="0"/>
        <w:kinsoku/>
        <w:wordWrap/>
        <w:overflowPunct/>
        <w:topLinePunct w:val="0"/>
        <w:autoSpaceDE/>
        <w:autoSpaceDN/>
        <w:bidi w:val="0"/>
        <w:adjustRightInd/>
        <w:snapToGrid w:val="0"/>
        <w:spacing w:beforeLines="50" w:afterLines="50" w:line="520" w:lineRule="exact"/>
        <w:jc w:val="both"/>
        <w:textAlignment w:val="auto"/>
        <w:rPr>
          <w:rFonts w:ascii="宋体" w:hAnsi="宋体" w:eastAsia="宋体" w:cs="宋体"/>
          <w:color w:val="000000" w:themeColor="text1"/>
          <w:sz w:val="28"/>
          <w:szCs w:val="28"/>
          <w14:textFill>
            <w14:solidFill>
              <w14:schemeClr w14:val="tx1"/>
            </w14:solidFill>
          </w14:textFill>
        </w:rPr>
      </w:pPr>
      <w:bookmarkStart w:id="913" w:name="_Toc24852"/>
      <w:bookmarkStart w:id="914" w:name="_Toc1001"/>
      <w:bookmarkStart w:id="915" w:name="_Toc28907"/>
      <w:bookmarkStart w:id="916" w:name="_Toc314238312"/>
      <w:bookmarkStart w:id="917" w:name="_Toc9127"/>
      <w:r>
        <w:rPr>
          <w:rFonts w:hint="eastAsia" w:ascii="宋体" w:hAnsi="宋体" w:eastAsia="宋体" w:cs="宋体"/>
          <w:color w:val="000000" w:themeColor="text1"/>
          <w:sz w:val="28"/>
          <w:szCs w:val="28"/>
          <w14:textFill>
            <w14:solidFill>
              <w14:schemeClr w14:val="tx1"/>
            </w14:solidFill>
          </w14:textFill>
        </w:rPr>
        <w:t>附件</w:t>
      </w:r>
      <w:bookmarkEnd w:id="913"/>
      <w:bookmarkEnd w:id="914"/>
      <w:bookmarkEnd w:id="915"/>
      <w:bookmarkEnd w:id="916"/>
    </w:p>
    <w:p w14:paraId="0BD84323">
      <w:pPr>
        <w:pStyle w:val="68"/>
        <w:keepNext w:val="0"/>
        <w:keepLines w:val="0"/>
        <w:pageBreakBefore w:val="0"/>
        <w:widowControl w:val="0"/>
        <w:numPr>
          <w:ilvl w:val="0"/>
          <w:numId w:val="0"/>
        </w:numPr>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bidi="ar-SA"/>
          <w14:textFill>
            <w14:solidFill>
              <w14:schemeClr w14:val="tx1"/>
            </w14:solidFill>
          </w14:textFill>
        </w:rPr>
        <w:t>1.</w:t>
      </w:r>
      <w:r>
        <w:rPr>
          <w:rFonts w:hint="eastAsia" w:ascii="宋体" w:hAnsi="宋体" w:eastAsia="宋体" w:cs="宋体"/>
          <w:b w:val="0"/>
          <w:bCs/>
          <w:color w:val="000000" w:themeColor="text1"/>
          <w:sz w:val="28"/>
          <w:szCs w:val="28"/>
          <w14:textFill>
            <w14:solidFill>
              <w14:schemeClr w14:val="tx1"/>
            </w14:solidFill>
          </w14:textFill>
        </w:rPr>
        <w:t>委托书</w:t>
      </w:r>
    </w:p>
    <w:p w14:paraId="137DEFED">
      <w:pPr>
        <w:pStyle w:val="68"/>
        <w:keepNext w:val="0"/>
        <w:keepLines w:val="0"/>
        <w:pageBreakBefore w:val="0"/>
        <w:widowControl w:val="0"/>
        <w:numPr>
          <w:ilvl w:val="0"/>
          <w:numId w:val="0"/>
        </w:numPr>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bidi="ar-SA"/>
          <w14:textFill>
            <w14:solidFill>
              <w14:schemeClr w14:val="tx1"/>
            </w14:solidFill>
          </w14:textFill>
        </w:rPr>
        <w:t>2.</w:t>
      </w:r>
      <w:r>
        <w:rPr>
          <w:rFonts w:hint="eastAsia" w:ascii="宋体" w:hAnsi="宋体" w:eastAsia="宋体" w:cs="宋体"/>
          <w:b w:val="0"/>
          <w:bCs/>
          <w:color w:val="000000" w:themeColor="text1"/>
          <w:sz w:val="28"/>
          <w:szCs w:val="28"/>
          <w14:textFill>
            <w14:solidFill>
              <w14:schemeClr w14:val="tx1"/>
            </w14:solidFill>
          </w14:textFill>
        </w:rPr>
        <w:t>承诺书</w:t>
      </w:r>
    </w:p>
    <w:p w14:paraId="04605EB4">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3</w:t>
      </w:r>
      <w:r>
        <w:rPr>
          <w:rFonts w:hint="eastAsia" w:ascii="宋体" w:hAnsi="宋体" w:eastAsia="宋体" w:cs="宋体"/>
          <w:b w:val="0"/>
          <w:bCs/>
          <w:color w:val="000000" w:themeColor="text1"/>
          <w:sz w:val="28"/>
          <w:szCs w:val="28"/>
          <w14:textFill>
            <w14:solidFill>
              <w14:schemeClr w14:val="tx1"/>
            </w14:solidFill>
          </w14:textFill>
        </w:rPr>
        <w:t>.营业执照</w:t>
      </w:r>
      <w:r>
        <w:rPr>
          <w:rFonts w:hint="eastAsia" w:ascii="宋体" w:hAnsi="宋体" w:eastAsia="宋体" w:cs="宋体"/>
          <w:b w:val="0"/>
          <w:bCs/>
          <w:color w:val="000000" w:themeColor="text1"/>
          <w:sz w:val="28"/>
          <w:szCs w:val="28"/>
          <w:lang w:val="en-US" w:eastAsia="zh-CN"/>
          <w14:textFill>
            <w14:solidFill>
              <w14:schemeClr w14:val="tx1"/>
            </w14:solidFill>
          </w14:textFill>
        </w:rPr>
        <w:t xml:space="preserve">  </w:t>
      </w:r>
    </w:p>
    <w:p w14:paraId="3FF3D2AC">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4.投资备案证</w:t>
      </w:r>
    </w:p>
    <w:p w14:paraId="3732917D">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default"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5.</w:t>
      </w:r>
      <w:r>
        <w:rPr>
          <w:rFonts w:hint="eastAsia" w:ascii="宋体" w:hAnsi="宋体" w:cs="宋体"/>
          <w:b w:val="0"/>
          <w:bCs/>
          <w:color w:val="000000" w:themeColor="text1"/>
          <w:sz w:val="28"/>
          <w:szCs w:val="28"/>
          <w:lang w:val="en-US" w:eastAsia="zh-CN"/>
          <w14:textFill>
            <w14:solidFill>
              <w14:schemeClr w14:val="tx1"/>
            </w14:solidFill>
          </w14:textFill>
        </w:rPr>
        <w:t>相关文件（</w:t>
      </w:r>
      <w:r>
        <w:rPr>
          <w:rFonts w:hint="eastAsia" w:ascii="宋体" w:hAnsi="宋体" w:eastAsia="宋体" w:cs="宋体"/>
          <w:b w:val="0"/>
          <w:bCs/>
          <w:color w:val="000000" w:themeColor="text1"/>
          <w:sz w:val="28"/>
          <w:szCs w:val="28"/>
          <w:lang w:val="en-US" w:eastAsia="zh-CN"/>
          <w14:textFill>
            <w14:solidFill>
              <w14:schemeClr w14:val="tx1"/>
            </w14:solidFill>
          </w14:textFill>
        </w:rPr>
        <w:t>调整为工贸建材类企业管理的公告</w:t>
      </w:r>
      <w:r>
        <w:rPr>
          <w:rFonts w:hint="eastAsia" w:ascii="宋体" w:hAnsi="宋体" w:cs="宋体"/>
          <w:b w:val="0"/>
          <w:bCs/>
          <w:color w:val="000000" w:themeColor="text1"/>
          <w:sz w:val="28"/>
          <w:szCs w:val="28"/>
          <w:lang w:val="en-US" w:eastAsia="zh-CN"/>
          <w14:textFill>
            <w14:solidFill>
              <w14:schemeClr w14:val="tx1"/>
            </w14:solidFill>
          </w14:textFill>
        </w:rPr>
        <w:t>、免于办理非煤矿山安全生产许可证的通知）</w:t>
      </w:r>
    </w:p>
    <w:p w14:paraId="23B3ACE7">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6</w:t>
      </w:r>
      <w:r>
        <w:rPr>
          <w:rFonts w:hint="eastAsia" w:ascii="宋体" w:hAnsi="宋体" w:eastAsia="宋体" w:cs="宋体"/>
          <w:b w:val="0"/>
          <w:bCs/>
          <w:color w:val="000000" w:themeColor="text1"/>
          <w:sz w:val="28"/>
          <w:szCs w:val="28"/>
          <w14:textFill>
            <w14:solidFill>
              <w14:schemeClr w14:val="tx1"/>
            </w14:solidFill>
          </w14:textFill>
        </w:rPr>
        <w:t>.土地使用证明</w:t>
      </w:r>
    </w:p>
    <w:p w14:paraId="1AE7787D">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7.安全领导小组成立文件、安全员任命文件</w:t>
      </w:r>
    </w:p>
    <w:p w14:paraId="1560D028">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8.主要负责人安全生产知识和管理能力考核合格证</w:t>
      </w:r>
    </w:p>
    <w:p w14:paraId="714BCF9F">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 xml:space="preserve">9.特种作业人员操作证件  </w:t>
      </w:r>
    </w:p>
    <w:p w14:paraId="77E9D40C">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default"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10.</w:t>
      </w:r>
      <w:r>
        <w:rPr>
          <w:rFonts w:hint="eastAsia" w:ascii="宋体" w:hAnsi="宋体" w:eastAsia="宋体" w:cs="宋体"/>
          <w:b w:val="0"/>
          <w:bCs/>
          <w:color w:val="000000" w:themeColor="text1"/>
          <w:sz w:val="28"/>
          <w:szCs w:val="28"/>
          <w14:textFill>
            <w14:solidFill>
              <w14:schemeClr w14:val="tx1"/>
            </w14:solidFill>
          </w14:textFill>
        </w:rPr>
        <w:t>特种设备使用登记证、检验报告</w:t>
      </w:r>
    </w:p>
    <w:p w14:paraId="031BAD07">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11</w:t>
      </w:r>
      <w:r>
        <w:rPr>
          <w:rFonts w:hint="eastAsia" w:ascii="宋体" w:hAnsi="宋体" w:eastAsia="宋体" w:cs="宋体"/>
          <w:b w:val="0"/>
          <w:bCs/>
          <w:color w:val="000000" w:themeColor="text1"/>
          <w:sz w:val="28"/>
          <w:szCs w:val="28"/>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工伤</w:t>
      </w:r>
      <w:r>
        <w:rPr>
          <w:rFonts w:hint="eastAsia" w:ascii="宋体" w:hAnsi="宋体" w:eastAsia="宋体" w:cs="宋体"/>
          <w:b w:val="0"/>
          <w:bCs/>
          <w:color w:val="000000" w:themeColor="text1"/>
          <w:sz w:val="28"/>
          <w:szCs w:val="28"/>
          <w14:textFill>
            <w14:solidFill>
              <w14:schemeClr w14:val="tx1"/>
            </w14:solidFill>
          </w14:textFill>
        </w:rPr>
        <w:t>保险凭证</w:t>
      </w:r>
    </w:p>
    <w:p w14:paraId="16B7769E">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12</w:t>
      </w:r>
      <w:r>
        <w:rPr>
          <w:rFonts w:hint="eastAsia" w:ascii="宋体" w:hAnsi="宋体" w:eastAsia="宋体" w:cs="宋体"/>
          <w:b w:val="0"/>
          <w:bCs/>
          <w:color w:val="000000" w:themeColor="text1"/>
          <w:sz w:val="28"/>
          <w:szCs w:val="28"/>
          <w14:textFill>
            <w14:solidFill>
              <w14:schemeClr w14:val="tx1"/>
            </w14:solidFill>
          </w14:textFill>
        </w:rPr>
        <w:t>.安全管理制度、安全生产责任制、操作规程目录</w:t>
      </w:r>
    </w:p>
    <w:p w14:paraId="5B56B930">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13.安全教育培训记录</w:t>
      </w:r>
      <w:bookmarkStart w:id="921" w:name="_GoBack"/>
      <w:bookmarkEnd w:id="921"/>
    </w:p>
    <w:p w14:paraId="2CF1A491">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14.</w:t>
      </w:r>
      <w:r>
        <w:rPr>
          <w:rFonts w:hint="eastAsia" w:ascii="宋体" w:hAnsi="宋体" w:eastAsia="宋体" w:cs="宋体"/>
          <w:b w:val="0"/>
          <w:bCs/>
          <w:color w:val="000000" w:themeColor="text1"/>
          <w:sz w:val="28"/>
          <w:szCs w:val="28"/>
          <w14:textFill>
            <w14:solidFill>
              <w14:schemeClr w14:val="tx1"/>
            </w14:solidFill>
          </w14:textFill>
        </w:rPr>
        <w:t>劳保用品发放记录</w:t>
      </w:r>
    </w:p>
    <w:p w14:paraId="405F3EC2">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15.安全隐患排查整改记录</w:t>
      </w:r>
    </w:p>
    <w:p w14:paraId="2772E7B4">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16</w:t>
      </w:r>
      <w:r>
        <w:rPr>
          <w:rFonts w:hint="eastAsia" w:ascii="宋体" w:hAnsi="宋体" w:eastAsia="宋体" w:cs="宋体"/>
          <w:b w:val="0"/>
          <w:bCs/>
          <w:color w:val="000000" w:themeColor="text1"/>
          <w:sz w:val="28"/>
          <w:szCs w:val="28"/>
          <w14:textFill>
            <w14:solidFill>
              <w14:schemeClr w14:val="tx1"/>
            </w14:solidFill>
          </w14:textFill>
        </w:rPr>
        <w:t>.</w:t>
      </w:r>
      <w:r>
        <w:rPr>
          <w:rFonts w:hint="eastAsia" w:ascii="宋体" w:hAnsi="宋体" w:eastAsia="宋体" w:cs="宋体"/>
          <w:b w:val="0"/>
          <w:bCs/>
          <w:color w:val="000000" w:themeColor="text1"/>
          <w:sz w:val="28"/>
          <w:szCs w:val="28"/>
          <w:lang w:eastAsia="zh-CN"/>
          <w14:textFill>
            <w14:solidFill>
              <w14:schemeClr w14:val="tx1"/>
            </w14:solidFill>
          </w14:textFill>
        </w:rPr>
        <w:t>生产安全事故</w:t>
      </w:r>
      <w:r>
        <w:rPr>
          <w:rFonts w:hint="eastAsia" w:ascii="宋体" w:hAnsi="宋体" w:eastAsia="宋体" w:cs="宋体"/>
          <w:b w:val="0"/>
          <w:bCs/>
          <w:color w:val="000000" w:themeColor="text1"/>
          <w:sz w:val="28"/>
          <w:szCs w:val="28"/>
          <w14:textFill>
            <w14:solidFill>
              <w14:schemeClr w14:val="tx1"/>
            </w14:solidFill>
          </w14:textFill>
        </w:rPr>
        <w:t>应急预案封面及备案登记表</w:t>
      </w:r>
    </w:p>
    <w:p w14:paraId="2F562198">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1</w:t>
      </w:r>
      <w:r>
        <w:rPr>
          <w:rFonts w:hint="eastAsia" w:ascii="宋体" w:hAnsi="宋体" w:eastAsia="宋体" w:cs="宋体"/>
          <w:b w:val="0"/>
          <w:bCs/>
          <w:color w:val="000000" w:themeColor="text1"/>
          <w:sz w:val="28"/>
          <w:szCs w:val="28"/>
          <w:lang w:val="en-US" w:eastAsia="zh-CN"/>
          <w14:textFill>
            <w14:solidFill>
              <w14:schemeClr w14:val="tx1"/>
            </w14:solidFill>
          </w14:textFill>
        </w:rPr>
        <w:t>7</w:t>
      </w:r>
      <w:r>
        <w:rPr>
          <w:rFonts w:hint="eastAsia" w:ascii="宋体" w:hAnsi="宋体" w:eastAsia="宋体" w:cs="宋体"/>
          <w:b w:val="0"/>
          <w:bCs/>
          <w:color w:val="000000" w:themeColor="text1"/>
          <w:sz w:val="28"/>
          <w:szCs w:val="28"/>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应急演练计划、应急演练记录</w:t>
      </w:r>
    </w:p>
    <w:p w14:paraId="4C8C2962">
      <w:pPr>
        <w:pStyle w:val="68"/>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default"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cs="宋体"/>
          <w:b w:val="0"/>
          <w:bCs/>
          <w:color w:val="000000" w:themeColor="text1"/>
          <w:sz w:val="28"/>
          <w:szCs w:val="28"/>
          <w:lang w:val="en-US" w:eastAsia="zh-CN"/>
          <w14:textFill>
            <w14:solidFill>
              <w14:schemeClr w14:val="tx1"/>
            </w14:solidFill>
          </w14:textFill>
        </w:rPr>
        <w:t>18.防雷检测报告</w:t>
      </w:r>
    </w:p>
    <w:p w14:paraId="1D618171">
      <w:pPr>
        <w:pStyle w:val="68"/>
        <w:keepNext w:val="0"/>
        <w:keepLines w:val="0"/>
        <w:pageBreakBefore w:val="0"/>
        <w:widowControl w:val="0"/>
        <w:kinsoku/>
        <w:wordWrap/>
        <w:overflowPunct/>
        <w:topLinePunct w:val="0"/>
        <w:autoSpaceDE w:val="0"/>
        <w:autoSpaceDN w:val="0"/>
        <w:bidi w:val="0"/>
        <w:snapToGrid/>
        <w:spacing w:line="520" w:lineRule="exact"/>
        <w:ind w:firstLine="560" w:firstLineChars="200"/>
        <w:jc w:val="both"/>
        <w:textAlignment w:val="auto"/>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w:t>
      </w:r>
      <w:r>
        <w:rPr>
          <w:rFonts w:hint="eastAsia" w:ascii="宋体" w:hAnsi="宋体" w:cs="宋体"/>
          <w:b w:val="0"/>
          <w:bCs/>
          <w:color w:val="000000" w:themeColor="text1"/>
          <w:sz w:val="28"/>
          <w:szCs w:val="28"/>
          <w:lang w:val="en-US" w:eastAsia="zh-CN"/>
          <w14:textFill>
            <w14:solidFill>
              <w14:schemeClr w14:val="tx1"/>
            </w14:solidFill>
          </w14:textFill>
        </w:rPr>
        <w:t>9</w:t>
      </w:r>
      <w:r>
        <w:rPr>
          <w:rFonts w:hint="eastAsia" w:ascii="宋体" w:hAnsi="宋体" w:eastAsia="宋体" w:cs="宋体"/>
          <w:b w:val="0"/>
          <w:bCs/>
          <w:color w:val="000000" w:themeColor="text1"/>
          <w:sz w:val="28"/>
          <w:szCs w:val="28"/>
          <w14:textFill>
            <w14:solidFill>
              <w14:schemeClr w14:val="tx1"/>
            </w14:solidFill>
          </w14:textFill>
        </w:rPr>
        <w:t>.整改报告</w:t>
      </w:r>
    </w:p>
    <w:p w14:paraId="19528F9A">
      <w:pPr>
        <w:pStyle w:val="4"/>
        <w:keepNext/>
        <w:keepLines/>
        <w:pageBreakBefore w:val="0"/>
        <w:widowControl w:val="0"/>
        <w:kinsoku/>
        <w:wordWrap/>
        <w:overflowPunct/>
        <w:topLinePunct w:val="0"/>
        <w:autoSpaceDE/>
        <w:autoSpaceDN/>
        <w:bidi w:val="0"/>
        <w:adjustRightInd/>
        <w:snapToGrid w:val="0"/>
        <w:spacing w:beforeLines="50" w:afterLines="50" w:line="520" w:lineRule="exact"/>
        <w:jc w:val="both"/>
        <w:textAlignment w:val="auto"/>
        <w:rPr>
          <w:rFonts w:ascii="宋体" w:hAnsi="宋体" w:eastAsia="宋体" w:cs="宋体"/>
          <w:color w:val="000000" w:themeColor="text1"/>
          <w:sz w:val="28"/>
          <w:szCs w:val="28"/>
          <w14:textFill>
            <w14:solidFill>
              <w14:schemeClr w14:val="tx1"/>
            </w14:solidFill>
          </w14:textFill>
        </w:rPr>
      </w:pPr>
      <w:bookmarkStart w:id="918" w:name="_Toc5960"/>
      <w:bookmarkStart w:id="919" w:name="_Toc26961"/>
      <w:r>
        <w:rPr>
          <w:rFonts w:hint="eastAsia" w:ascii="宋体" w:hAnsi="宋体" w:eastAsia="宋体" w:cs="宋体"/>
          <w:color w:val="000000" w:themeColor="text1"/>
          <w:sz w:val="28"/>
          <w:szCs w:val="28"/>
          <w14:textFill>
            <w14:solidFill>
              <w14:schemeClr w14:val="tx1"/>
            </w14:solidFill>
          </w14:textFill>
        </w:rPr>
        <w:t>附图</w:t>
      </w:r>
      <w:bookmarkEnd w:id="917"/>
      <w:bookmarkEnd w:id="918"/>
      <w:bookmarkEnd w:id="919"/>
    </w:p>
    <w:p w14:paraId="5D0D943A">
      <w:pPr>
        <w:pStyle w:val="68"/>
        <w:keepNext w:val="0"/>
        <w:keepLines w:val="0"/>
        <w:pageBreakBefore w:val="0"/>
        <w:widowControl w:val="0"/>
        <w:kinsoku/>
        <w:wordWrap/>
        <w:overflowPunct/>
        <w:topLinePunct w:val="0"/>
        <w:autoSpaceDE w:val="0"/>
        <w:autoSpaceDN w:val="0"/>
        <w:bidi w:val="0"/>
        <w:adjustRightInd w:val="0"/>
        <w:snapToGrid/>
        <w:spacing w:line="520" w:lineRule="exact"/>
        <w:ind w:firstLine="560" w:firstLineChars="200"/>
        <w:jc w:val="both"/>
        <w:textAlignment w:val="auto"/>
        <w:outlineLvl w:val="9"/>
        <w:rPr>
          <w:rFonts w:hint="default" w:ascii="Times New Roman" w:hAnsi="Times New Roman" w:cs="Times New Roman" w:eastAsiaTheme="minorEastAsia"/>
          <w:b w:val="0"/>
          <w:bCs/>
          <w:color w:val="000000" w:themeColor="text1"/>
          <w:sz w:val="28"/>
          <w:szCs w:val="28"/>
          <w:lang w:val="en-US"/>
          <w14:textFill>
            <w14:solidFill>
              <w14:schemeClr w14:val="tx1"/>
            </w14:solidFill>
          </w14:textFill>
        </w:rPr>
      </w:pPr>
      <w:bookmarkStart w:id="920" w:name="_Toc15683"/>
      <w:r>
        <w:rPr>
          <w:rFonts w:hint="default" w:ascii="Times New Roman" w:hAnsi="Times New Roman" w:cs="Times New Roman"/>
          <w:b w:val="0"/>
          <w:bCs/>
          <w:color w:val="000000" w:themeColor="text1"/>
          <w:sz w:val="28"/>
          <w:szCs w:val="28"/>
          <w14:textFill>
            <w14:solidFill>
              <w14:schemeClr w14:val="tx1"/>
            </w14:solidFill>
          </w14:textFill>
        </w:rPr>
        <w:t>1.平</w:t>
      </w:r>
      <w:r>
        <w:rPr>
          <w:rFonts w:hint="default" w:ascii="Times New Roman" w:hAnsi="Times New Roman" w:cs="Times New Roman"/>
          <w:b w:val="0"/>
          <w:bCs/>
          <w:color w:val="000000" w:themeColor="text1"/>
          <w:sz w:val="28"/>
          <w:szCs w:val="28"/>
          <w:lang w:val="en-US" w:eastAsia="zh-CN"/>
          <w14:textFill>
            <w14:solidFill>
              <w14:schemeClr w14:val="tx1"/>
            </w14:solidFill>
          </w14:textFill>
        </w:rPr>
        <w:t>面布置</w:t>
      </w:r>
      <w:bookmarkEnd w:id="920"/>
      <w:r>
        <w:rPr>
          <w:rFonts w:hint="eastAsia" w:cs="Times New Roman"/>
          <w:b w:val="0"/>
          <w:bCs/>
          <w:color w:val="000000" w:themeColor="text1"/>
          <w:sz w:val="28"/>
          <w:szCs w:val="28"/>
          <w:lang w:val="en-US" w:eastAsia="zh-CN"/>
          <w14:textFill>
            <w14:solidFill>
              <w14:schemeClr w14:val="tx1"/>
            </w14:solidFill>
          </w14:textFill>
        </w:rPr>
        <w:t>图</w:t>
      </w:r>
    </w:p>
    <w:sectPr>
      <w:footerReference r:id="rId8" w:type="default"/>
      <w:pgSz w:w="11906" w:h="16838"/>
      <w:pgMar w:top="1587" w:right="1701" w:bottom="1701" w:left="1701" w:header="851" w:footer="992" w:gutter="0"/>
      <w:pgBorders>
        <w:top w:val="none" w:sz="0" w:space="0"/>
        <w:left w:val="none" w:sz="0" w:space="0"/>
        <w:bottom w:val="none" w:sz="0" w:space="0"/>
        <w:right w:val="none" w:sz="0" w:space="0"/>
      </w:pgBorders>
      <w:pgNumType w:fmt="decimal"/>
      <w:cols w:space="720" w:num="1"/>
      <w:docGrid w:type="lines" w:linePitch="33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monospace">
    <w:altName w:val="Segoe Print"/>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rebuchet MS">
    <w:panose1 w:val="020B0603020202020204"/>
    <w:charset w:val="00"/>
    <w:family w:val="swiss"/>
    <w:pitch w:val="default"/>
    <w:sig w:usb0="00000687" w:usb1="00000000" w:usb2="00000000" w:usb3="00000000" w:csb0="2000009F"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20509000000000000"/>
    <w:charset w:val="88"/>
    <w:family w:val="modern"/>
    <w:pitch w:val="default"/>
    <w:sig w:usb0="00000000" w:usb1="00000000" w:usb2="00000016" w:usb3="00000000" w:csb0="00100001" w:csb1="00000000"/>
  </w:font>
  <w:font w:name="Angsana New">
    <w:altName w:val="Times New Roman"/>
    <w:panose1 w:val="02020603050405020304"/>
    <w:charset w:val="00"/>
    <w:family w:val="roman"/>
    <w:pitch w:val="default"/>
    <w:sig w:usb0="00000000" w:usb1="00000000" w:usb2="00000000" w:usb3="00000000" w:csb0="00010001" w:csb1="00000000"/>
  </w:font>
  <w:font w:name="隶书">
    <w:panose1 w:val="02010509060101010101"/>
    <w:charset w:val="86"/>
    <w:family w:val="modern"/>
    <w:pitch w:val="default"/>
    <w:sig w:usb0="00000001" w:usb1="080E0000" w:usb2="00000000" w:usb3="00000000" w:csb0="00040000" w:csb1="00000000"/>
  </w:font>
  <w:font w:name="..ì.">
    <w:altName w:val="宋体"/>
    <w:panose1 w:val="00000000000000000000"/>
    <w:charset w:val="86"/>
    <w:family w:val="swiss"/>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A5871">
    <w:pPr>
      <w:pStyle w:val="32"/>
      <w:tabs>
        <w:tab w:val="center" w:pos="4252"/>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A0AF5F">
                          <w:pPr>
                            <w:pStyle w:val="32"/>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7DA0AF5F">
                    <w:pPr>
                      <w:pStyle w:val="32"/>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昭通市鼎安科技有限公司</w: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3B2D7">
    <w:pPr>
      <w:pStyle w:val="3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65E6C1">
                          <w:pPr>
                            <w:pStyle w:val="32"/>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14:paraId="3F65E6C1">
                    <w:pPr>
                      <w:pStyle w:val="32"/>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昭通市鼎安</w:t>
    </w:r>
    <w:r>
      <w:rPr>
        <w:rFonts w:hint="eastAsia" w:hAnsi="宋体"/>
      </w:rPr>
      <w:t>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FFB70">
    <w:pPr>
      <w:pStyle w:val="3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57EE1F5">
                          <w:pPr>
                            <w:snapToGrid w:val="0"/>
                            <w:rPr>
                              <w:sz w:val="18"/>
                            </w:rPr>
                          </w:pPr>
                          <w:r>
                            <w:rPr>
                              <w:sz w:val="18"/>
                            </w:rPr>
                            <w:fldChar w:fldCharType="begin"/>
                          </w:r>
                          <w:r>
                            <w:rPr>
                              <w:sz w:val="18"/>
                            </w:rPr>
                            <w:instrText xml:space="preserve"> PAGE  \* MERGEFORMAT </w:instrText>
                          </w:r>
                          <w:r>
                            <w:rPr>
                              <w:sz w:val="18"/>
                            </w:rPr>
                            <w:fldChar w:fldCharType="separate"/>
                          </w:r>
                          <w:r>
                            <w:rPr>
                              <w:sz w:val="18"/>
                            </w:rPr>
                            <w:t>99</w:t>
                          </w:r>
                          <w:r>
                            <w:rPr>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GmCS9MAAAAFAQAADwAAAAAAAAABACAAAAAiAAAA&#10;ZHJzL2Rvd25yZXYueG1sUEsBAhQAFAAAAAgAh07iQEhdkjPTAQAApQMAAA4AAAAAAAAAAQAgAAAA&#10;IgEAAGRycy9lMm9Eb2MueG1sUEsFBgAAAAAGAAYAWQEAAGcFAAAAAA==&#10;">
              <v:fill on="f" focussize="0,0"/>
              <v:stroke on="f" weight="1.25pt"/>
              <v:imagedata o:title=""/>
              <o:lock v:ext="edit" aspectratio="f"/>
              <v:textbox inset="0mm,0mm,0mm,0mm" style="mso-fit-shape-to-text:t;">
                <w:txbxContent>
                  <w:p w14:paraId="357EE1F5">
                    <w:pPr>
                      <w:snapToGrid w:val="0"/>
                      <w:rPr>
                        <w:sz w:val="18"/>
                      </w:rPr>
                    </w:pPr>
                    <w:r>
                      <w:rPr>
                        <w:sz w:val="18"/>
                      </w:rPr>
                      <w:fldChar w:fldCharType="begin"/>
                    </w:r>
                    <w:r>
                      <w:rPr>
                        <w:sz w:val="18"/>
                      </w:rPr>
                      <w:instrText xml:space="preserve"> PAGE  \* MERGEFORMAT </w:instrText>
                    </w:r>
                    <w:r>
                      <w:rPr>
                        <w:sz w:val="18"/>
                      </w:rPr>
                      <w:fldChar w:fldCharType="separate"/>
                    </w:r>
                    <w:r>
                      <w:rPr>
                        <w:sz w:val="18"/>
                      </w:rPr>
                      <w:t>99</w:t>
                    </w:r>
                    <w:r>
                      <w:rPr>
                        <w:sz w:val="18"/>
                      </w:rPr>
                      <w:fldChar w:fldCharType="end"/>
                    </w:r>
                  </w:p>
                </w:txbxContent>
              </v:textbox>
            </v:shape>
          </w:pict>
        </mc:Fallback>
      </mc:AlternateContent>
    </w:r>
    <w:r>
      <w:rPr>
        <w:rFonts w:hint="eastAsia"/>
      </w:rPr>
      <w:t>昭通市鼎安</w:t>
    </w:r>
    <w:r>
      <w:rPr>
        <w:rFonts w:hint="eastAsia" w:hAnsi="宋体"/>
      </w:rPr>
      <w:t>科技有限公司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2549A">
    <w:pPr>
      <w:widowControl w:val="0"/>
      <w:tabs>
        <w:tab w:val="center" w:pos="4153"/>
      </w:tabs>
      <w:snapToGrid w:val="0"/>
      <w:spacing w:line="240" w:lineRule="auto"/>
      <w:ind w:firstLine="0" w:firstLineChars="0"/>
      <w:rPr>
        <w:sz w:val="21"/>
        <w:szCs w:val="21"/>
      </w:rPr>
    </w:pPr>
    <w:r>
      <w:rPr>
        <w:sz w:val="21"/>
      </w:rPr>
      <mc:AlternateContent>
        <mc:Choice Requires="wps">
          <w:drawing>
            <wp:anchor distT="0" distB="0" distL="114300" distR="114300" simplePos="0" relativeHeight="251665408" behindDoc="0" locked="0" layoutInCell="1" allowOverlap="1">
              <wp:simplePos x="0" y="0"/>
              <wp:positionH relativeFrom="margin">
                <wp:posOffset>2291080</wp:posOffset>
              </wp:positionH>
              <wp:positionV relativeFrom="paragraph">
                <wp:posOffset>-151130</wp:posOffset>
              </wp:positionV>
              <wp:extent cx="692150" cy="47625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692150"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4B36C9">
                          <w:pPr>
                            <w:pStyle w:val="32"/>
                          </w:pPr>
                          <w:r>
                            <w:t xml:space="preserve">第 </w:t>
                          </w:r>
                          <w:r>
                            <w:fldChar w:fldCharType="begin"/>
                          </w:r>
                          <w:r>
                            <w:instrText xml:space="preserve"> PAGE  \* MERGEFORMAT </w:instrText>
                          </w:r>
                          <w:r>
                            <w:fldChar w:fldCharType="separate"/>
                          </w:r>
                          <w:r>
                            <w:t>13</w:t>
                          </w:r>
                          <w:r>
                            <w:fldChar w:fldCharType="end"/>
                          </w:r>
                          <w: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80.4pt;margin-top:-11.9pt;height:37.5pt;width:54.5pt;mso-position-horizontal-relative:margin;z-index:251665408;mso-width-relative:page;mso-height-relative:page;" filled="f" stroked="f" coordsize="21600,21600" o:gfxdata="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7W7Sv2QAAAAoBAAAPAAAAAAAAAAEAIAAAACIAAABkcnMvZG93bnJl&#10;di54bWxQSwECFAAUAAAACACHTuJAzxjsMzUCAABjBAAADgAAAAAAAAABACAAAAAoAQAAZHJzL2Uy&#10;b0RvYy54bWxQSwUGAAAAAAYABgBZAQAAzwUAAAAA&#10;">
              <v:fill on="f" focussize="0,0"/>
              <v:stroke on="f" weight="0.5pt"/>
              <v:imagedata o:title=""/>
              <o:lock v:ext="edit" aspectratio="f"/>
              <v:textbox inset="0mm,0mm,0mm,0mm">
                <w:txbxContent>
                  <w:p w14:paraId="3A4B36C9">
                    <w:pPr>
                      <w:pStyle w:val="32"/>
                    </w:pPr>
                    <w:r>
                      <w:t xml:space="preserve">第 </w:t>
                    </w:r>
                    <w:r>
                      <w:fldChar w:fldCharType="begin"/>
                    </w:r>
                    <w:r>
                      <w:instrText xml:space="preserve"> PAGE  \* MERGEFORMAT </w:instrText>
                    </w:r>
                    <w:r>
                      <w:fldChar w:fldCharType="separate"/>
                    </w:r>
                    <w:r>
                      <w:t>13</w:t>
                    </w:r>
                    <w:r>
                      <w:fldChar w:fldCharType="end"/>
                    </w:r>
                    <w:r>
                      <w:t xml:space="preserve"> 页</w:t>
                    </w:r>
                  </w:p>
                </w:txbxContent>
              </v:textbox>
            </v:shape>
          </w:pict>
        </mc:Fallback>
      </mc:AlternateContent>
    </w:r>
    <w:r>
      <w:rPr>
        <w:sz w:val="21"/>
        <w:szCs w:val="21"/>
      </w:rPr>
      <w:t>昭通市鼎安科技有限公司</w:t>
    </w:r>
    <w:r>
      <w:rPr>
        <w:rFonts w:ascii="宋体" w:hAnsi="宋体" w:eastAsia="宋体" w:cs="Times New Roman"/>
        <w:kern w:val="2"/>
        <w:sz w:val="18"/>
        <w:szCs w:val="18"/>
        <w:lang w:val="en-US" w:eastAsia="zh-CN" w:bidi="ar-S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75946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759460" cy="1828800"/>
                      </a:xfrm>
                      <a:prstGeom prst="rect">
                        <a:avLst/>
                      </a:prstGeom>
                      <a:noFill/>
                      <a:ln>
                        <a:noFill/>
                      </a:ln>
                    </wps:spPr>
                    <wps:txbx>
                      <w:txbxContent>
                        <w:p w14:paraId="106EBD75">
                          <w:pPr>
                            <w:widowControl w:val="0"/>
                            <w:snapToGrid w:val="0"/>
                            <w:spacing w:line="360" w:lineRule="auto"/>
                            <w:ind w:firstLine="360" w:firstLineChars="200"/>
                            <w:jc w:val="left"/>
                            <w:rPr>
                              <w:rFonts w:hint="eastAsia" w:ascii="Times New Roman" w:hAnsi="Times New Roman" w:eastAsia="宋体" w:cs="Times New Roman"/>
                              <w:kern w:val="2"/>
                              <w:sz w:val="18"/>
                              <w:szCs w:val="18"/>
                              <w:lang w:val="en-US" w:eastAsia="zh-CN" w:bidi="ar-SA"/>
                            </w:rPr>
                          </w:pPr>
                        </w:p>
                      </w:txbxContent>
                    </wps:txbx>
                    <wps:bodyPr wrap="square" lIns="0" tIns="0" rIns="0" bIns="0" upright="0">
                      <a:spAutoFit/>
                    </wps:bodyPr>
                  </wps:wsp>
                </a:graphicData>
              </a:graphic>
            </wp:anchor>
          </w:drawing>
        </mc:Choice>
        <mc:Fallback>
          <w:pict>
            <v:shape id="_x0000_s1026" o:spid="_x0000_s1026" o:spt="202" type="#_x0000_t202" style="position:absolute;left:0pt;margin-top:0pt;height:144pt;width:59.8pt;mso-position-horizontal:center;mso-position-horizontal-relative:margin;z-index:251664384;mso-width-relative:page;mso-height-relative:page;" filled="f" stroked="f" coordsize="21600,21600" o:gfxdata="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&#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JnED4DTAAAABQEAAA8AAAAAAAAAAQAgAAAAIgAAAGRy&#10;cy9kb3ducmV2LnhtbFBLAQIUABQAAAAIAIdO4kBj0myy0QEAAJwDAAAOAAAAAAAAAAEAIAAAACIB&#10;AABkcnMvZTJvRG9jLnhtbFBLBQYAAAAABgAGAFkBAABlBQAAAAA=&#10;">
              <v:fill on="f" focussize="0,0"/>
              <v:stroke on="f"/>
              <v:imagedata o:title=""/>
              <o:lock v:ext="edit" aspectratio="f"/>
              <v:textbox inset="0mm,0mm,0mm,0mm" style="mso-fit-shape-to-text:t;">
                <w:txbxContent>
                  <w:p w14:paraId="106EBD75">
                    <w:pPr>
                      <w:widowControl w:val="0"/>
                      <w:snapToGrid w:val="0"/>
                      <w:spacing w:line="360" w:lineRule="auto"/>
                      <w:ind w:firstLine="360" w:firstLineChars="200"/>
                      <w:jc w:val="left"/>
                      <w:rPr>
                        <w:rFonts w:hint="eastAsia" w:ascii="Times New Roman" w:hAnsi="Times New Roman" w:eastAsia="宋体" w:cs="Times New Roman"/>
                        <w:kern w:val="2"/>
                        <w:sz w:val="18"/>
                        <w:szCs w:val="18"/>
                        <w:lang w:val="en-US" w:eastAsia="zh-CN" w:bidi="ar-SA"/>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D71DF">
    <w:pPr>
      <w:pStyle w:val="3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146BEF7">
                          <w:pPr>
                            <w:snapToGrid w:val="0"/>
                            <w:rPr>
                              <w:sz w:val="18"/>
                            </w:rPr>
                          </w:pPr>
                          <w:r>
                            <w:rPr>
                              <w:sz w:val="18"/>
                            </w:rPr>
                            <w:fldChar w:fldCharType="begin"/>
                          </w:r>
                          <w:r>
                            <w:rPr>
                              <w:sz w:val="18"/>
                            </w:rPr>
                            <w:instrText xml:space="preserve"> PAGE  \* MERGEFORMAT </w:instrText>
                          </w:r>
                          <w:r>
                            <w:rPr>
                              <w:sz w:val="18"/>
                            </w:rPr>
                            <w:fldChar w:fldCharType="separate"/>
                          </w:r>
                          <w:r>
                            <w:rPr>
                              <w:sz w:val="18"/>
                            </w:rPr>
                            <w:t>105</w:t>
                          </w:r>
                          <w:r>
                            <w:rPr>
                              <w:sz w:val="18"/>
                            </w:rPr>
                            <w:fldChar w:fldCharType="end"/>
                          </w:r>
                        </w:p>
                      </w:txbxContent>
                    </wps:txbx>
                    <wps:bodyPr wrap="none" lIns="0" tIns="0" rIns="0" bIns="0" upright="1">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1eXNytIBAACkAwAADgAAAAAAAAABACAAAAAi&#10;AQAAZHJzL2Uyb0RvYy54bWxQSwUGAAAAAAYABgBZAQAAZgUAAAAA&#10;">
              <v:fill on="f" focussize="0,0"/>
              <v:stroke on="f" weight="1.25pt"/>
              <v:imagedata o:title=""/>
              <o:lock v:ext="edit" aspectratio="f"/>
              <v:textbox inset="0mm,0mm,0mm,0mm" style="mso-fit-shape-to-text:t;">
                <w:txbxContent>
                  <w:p w14:paraId="3146BEF7">
                    <w:pPr>
                      <w:snapToGrid w:val="0"/>
                      <w:rPr>
                        <w:sz w:val="18"/>
                      </w:rPr>
                    </w:pPr>
                    <w:r>
                      <w:rPr>
                        <w:sz w:val="18"/>
                      </w:rPr>
                      <w:fldChar w:fldCharType="begin"/>
                    </w:r>
                    <w:r>
                      <w:rPr>
                        <w:sz w:val="18"/>
                      </w:rPr>
                      <w:instrText xml:space="preserve"> PAGE  \* MERGEFORMAT </w:instrText>
                    </w:r>
                    <w:r>
                      <w:rPr>
                        <w:sz w:val="18"/>
                      </w:rPr>
                      <w:fldChar w:fldCharType="separate"/>
                    </w:r>
                    <w:r>
                      <w:rPr>
                        <w:sz w:val="18"/>
                      </w:rPr>
                      <w:t>105</w:t>
                    </w:r>
                    <w:r>
                      <w:rPr>
                        <w:sz w:val="18"/>
                      </w:rPr>
                      <w:fldChar w:fldCharType="end"/>
                    </w:r>
                  </w:p>
                </w:txbxContent>
              </v:textbox>
            </v:shape>
          </w:pict>
        </mc:Fallback>
      </mc:AlternateContent>
    </w:r>
    <w:r>
      <w:rPr>
        <w:rFonts w:hint="eastAsia"/>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B61F5">
    <w:pPr>
      <w:pStyle w:val="33"/>
    </w:pPr>
    <w:r>
      <w:rPr>
        <w:rFonts w:hint="eastAsia"/>
        <w:lang w:val="en-US" w:eastAsia="zh-CN"/>
      </w:rPr>
      <w:t>牟定乾泰建材有限公司年产9000万块页岩多孔空心砖生产线技术改造项目</w:t>
    </w:r>
    <w:r>
      <w:rPr>
        <w:rFonts w:hint="eastAsia"/>
      </w:rPr>
      <w:t>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12A656"/>
    <w:multiLevelType w:val="multilevel"/>
    <w:tmpl w:val="9912A656"/>
    <w:lvl w:ilvl="0" w:tentative="0">
      <w:start w:val="1"/>
      <w:numFmt w:val="decimal"/>
      <w:suff w:val="nothing"/>
      <w:lvlText w:val="%1"/>
      <w:lvlJc w:val="center"/>
      <w:pPr>
        <w:ind w:left="180" w:firstLine="0"/>
      </w:pPr>
      <w:rPr>
        <w:rFonts w:hint="eastAsia"/>
      </w:rPr>
    </w:lvl>
    <w:lvl w:ilvl="1" w:tentative="0">
      <w:start w:val="1"/>
      <w:numFmt w:val="lowerLetter"/>
      <w:lvlText w:val="%2)"/>
      <w:lvlJc w:val="left"/>
      <w:pPr>
        <w:tabs>
          <w:tab w:val="left" w:pos="1020"/>
        </w:tabs>
        <w:ind w:left="1020" w:hanging="420"/>
      </w:pPr>
      <w:rPr>
        <w:rFonts w:hint="eastAsia"/>
      </w:rPr>
    </w:lvl>
    <w:lvl w:ilvl="2" w:tentative="0">
      <w:start w:val="1"/>
      <w:numFmt w:val="lowerRoman"/>
      <w:lvlText w:val="%3."/>
      <w:lvlJc w:val="right"/>
      <w:pPr>
        <w:tabs>
          <w:tab w:val="left" w:pos="1440"/>
        </w:tabs>
        <w:ind w:left="1440" w:hanging="420"/>
      </w:pPr>
      <w:rPr>
        <w:rFonts w:hint="eastAsia"/>
      </w:rPr>
    </w:lvl>
    <w:lvl w:ilvl="3" w:tentative="0">
      <w:start w:val="1"/>
      <w:numFmt w:val="decimal"/>
      <w:lvlText w:val="%4."/>
      <w:lvlJc w:val="left"/>
      <w:pPr>
        <w:tabs>
          <w:tab w:val="left" w:pos="1860"/>
        </w:tabs>
        <w:ind w:left="1860" w:hanging="420"/>
      </w:pPr>
      <w:rPr>
        <w:rFonts w:hint="eastAsia"/>
      </w:rPr>
    </w:lvl>
    <w:lvl w:ilvl="4" w:tentative="0">
      <w:start w:val="1"/>
      <w:numFmt w:val="lowerLetter"/>
      <w:lvlText w:val="%5)"/>
      <w:lvlJc w:val="left"/>
      <w:pPr>
        <w:tabs>
          <w:tab w:val="left" w:pos="2280"/>
        </w:tabs>
        <w:ind w:left="2280" w:hanging="420"/>
      </w:pPr>
      <w:rPr>
        <w:rFonts w:hint="eastAsia"/>
      </w:rPr>
    </w:lvl>
    <w:lvl w:ilvl="5" w:tentative="0">
      <w:start w:val="1"/>
      <w:numFmt w:val="lowerRoman"/>
      <w:lvlText w:val="%6."/>
      <w:lvlJc w:val="right"/>
      <w:pPr>
        <w:tabs>
          <w:tab w:val="left" w:pos="2700"/>
        </w:tabs>
        <w:ind w:left="2700" w:hanging="420"/>
      </w:pPr>
      <w:rPr>
        <w:rFonts w:hint="eastAsia"/>
      </w:rPr>
    </w:lvl>
    <w:lvl w:ilvl="6" w:tentative="0">
      <w:start w:val="1"/>
      <w:numFmt w:val="decimal"/>
      <w:lvlText w:val="%7."/>
      <w:lvlJc w:val="left"/>
      <w:pPr>
        <w:tabs>
          <w:tab w:val="left" w:pos="3120"/>
        </w:tabs>
        <w:ind w:left="3120" w:hanging="420"/>
      </w:pPr>
      <w:rPr>
        <w:rFonts w:hint="eastAsia"/>
      </w:rPr>
    </w:lvl>
    <w:lvl w:ilvl="7" w:tentative="0">
      <w:start w:val="1"/>
      <w:numFmt w:val="lowerLetter"/>
      <w:lvlText w:val="%8)"/>
      <w:lvlJc w:val="left"/>
      <w:pPr>
        <w:tabs>
          <w:tab w:val="left" w:pos="3540"/>
        </w:tabs>
        <w:ind w:left="3540" w:hanging="420"/>
      </w:pPr>
      <w:rPr>
        <w:rFonts w:hint="eastAsia"/>
      </w:rPr>
    </w:lvl>
    <w:lvl w:ilvl="8" w:tentative="0">
      <w:start w:val="1"/>
      <w:numFmt w:val="lowerRoman"/>
      <w:lvlText w:val="%9."/>
      <w:lvlJc w:val="right"/>
      <w:pPr>
        <w:tabs>
          <w:tab w:val="left" w:pos="3960"/>
        </w:tabs>
        <w:ind w:left="3960" w:hanging="420"/>
      </w:pPr>
      <w:rPr>
        <w:rFonts w:hint="eastAsia"/>
      </w:rPr>
    </w:lvl>
  </w:abstractNum>
  <w:abstractNum w:abstractNumId="1">
    <w:nsid w:val="AA978B95"/>
    <w:multiLevelType w:val="singleLevel"/>
    <w:tmpl w:val="AA978B95"/>
    <w:lvl w:ilvl="0" w:tentative="0">
      <w:start w:val="1"/>
      <w:numFmt w:val="decimal"/>
      <w:suff w:val="nothing"/>
      <w:lvlText w:val="%1、"/>
      <w:lvlJc w:val="left"/>
    </w:lvl>
  </w:abstractNum>
  <w:abstractNum w:abstractNumId="2">
    <w:nsid w:val="AFA6CE7F"/>
    <w:multiLevelType w:val="singleLevel"/>
    <w:tmpl w:val="AFA6CE7F"/>
    <w:lvl w:ilvl="0" w:tentative="0">
      <w:start w:val="1"/>
      <w:numFmt w:val="decimal"/>
      <w:suff w:val="nothing"/>
      <w:lvlText w:val="%1．"/>
      <w:lvlJc w:val="left"/>
      <w:pPr>
        <w:ind w:left="0" w:firstLine="400"/>
      </w:pPr>
      <w:rPr>
        <w:rFonts w:hint="default"/>
      </w:rPr>
    </w:lvl>
  </w:abstractNum>
  <w:abstractNum w:abstractNumId="3">
    <w:nsid w:val="C6C0DB08"/>
    <w:multiLevelType w:val="singleLevel"/>
    <w:tmpl w:val="C6C0DB08"/>
    <w:lvl w:ilvl="0" w:tentative="0">
      <w:start w:val="1"/>
      <w:numFmt w:val="decimal"/>
      <w:suff w:val="nothing"/>
      <w:lvlText w:val="%1．"/>
      <w:lvlJc w:val="left"/>
      <w:pPr>
        <w:ind w:left="0" w:firstLine="400"/>
      </w:pPr>
      <w:rPr>
        <w:rFonts w:hint="default"/>
      </w:rPr>
    </w:lvl>
  </w:abstractNum>
  <w:abstractNum w:abstractNumId="4">
    <w:nsid w:val="C804AFA8"/>
    <w:multiLevelType w:val="singleLevel"/>
    <w:tmpl w:val="C804AFA8"/>
    <w:lvl w:ilvl="0" w:tentative="0">
      <w:start w:val="1"/>
      <w:numFmt w:val="decimal"/>
      <w:suff w:val="nothing"/>
      <w:lvlText w:val="%1．"/>
      <w:lvlJc w:val="left"/>
      <w:pPr>
        <w:ind w:left="0" w:firstLine="400"/>
      </w:pPr>
      <w:rPr>
        <w:rFonts w:hint="default"/>
      </w:rPr>
    </w:lvl>
  </w:abstractNum>
  <w:abstractNum w:abstractNumId="5">
    <w:nsid w:val="DE7DA408"/>
    <w:multiLevelType w:val="multilevel"/>
    <w:tmpl w:val="DE7DA408"/>
    <w:lvl w:ilvl="0" w:tentative="0">
      <w:start w:val="1"/>
      <w:numFmt w:val="decimal"/>
      <w:suff w:val="nothing"/>
      <w:lvlText w:val="%1"/>
      <w:lvlJc w:val="left"/>
      <w:pPr>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03"/>
    <w:multiLevelType w:val="singleLevel"/>
    <w:tmpl w:val="00000003"/>
    <w:lvl w:ilvl="0" w:tentative="0">
      <w:start w:val="1"/>
      <w:numFmt w:val="decimal"/>
      <w:suff w:val="nothing"/>
      <w:lvlText w:val="%1．"/>
      <w:lvlJc w:val="left"/>
      <w:rPr>
        <w:rFonts w:ascii="宋体" w:hAnsi="宋体" w:eastAsia="宋体"/>
      </w:rPr>
    </w:lvl>
  </w:abstractNum>
  <w:abstractNum w:abstractNumId="7">
    <w:nsid w:val="0000000B"/>
    <w:multiLevelType w:val="singleLevel"/>
    <w:tmpl w:val="0000000B"/>
    <w:lvl w:ilvl="0" w:tentative="0">
      <w:start w:val="1"/>
      <w:numFmt w:val="decimal"/>
      <w:suff w:val="nothing"/>
      <w:lvlText w:val="%1"/>
      <w:lvlJc w:val="left"/>
      <w:pPr>
        <w:ind w:left="425" w:hanging="425"/>
      </w:pPr>
      <w:rPr>
        <w:rFonts w:hint="default"/>
      </w:rPr>
    </w:lvl>
  </w:abstractNum>
  <w:abstractNum w:abstractNumId="8">
    <w:nsid w:val="00000020"/>
    <w:multiLevelType w:val="multilevel"/>
    <w:tmpl w:val="00000020"/>
    <w:lvl w:ilvl="0" w:tentative="0">
      <w:start w:val="1"/>
      <w:numFmt w:val="decimal"/>
      <w:pStyle w:val="244"/>
      <w:lvlText w:val="%1）"/>
      <w:lvlJc w:val="left"/>
      <w:pPr>
        <w:tabs>
          <w:tab w:val="left" w:pos="0"/>
        </w:tabs>
        <w:ind w:left="0" w:firstLine="420"/>
      </w:pPr>
      <w:rPr>
        <w:rFonts w:hint="default" w:ascii="Times New Roman" w:hAnsi="Times New Roman" w:eastAsia="仿宋_GB2312"/>
        <w:b w:val="0"/>
        <w:i w:val="0"/>
        <w:color w:val="auto"/>
        <w:sz w:val="28"/>
        <w:szCs w:val="28"/>
      </w:rPr>
    </w:lvl>
    <w:lvl w:ilvl="1" w:tentative="0">
      <w:start w:val="1"/>
      <w:numFmt w:val="decimal"/>
      <w:lvlText w:val="（%2）"/>
      <w:lvlJc w:val="left"/>
      <w:pPr>
        <w:tabs>
          <w:tab w:val="left" w:pos="1980"/>
        </w:tabs>
        <w:ind w:left="198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21"/>
    <w:multiLevelType w:val="multilevel"/>
    <w:tmpl w:val="00000021"/>
    <w:lvl w:ilvl="0" w:tentative="0">
      <w:start w:val="1"/>
      <w:numFmt w:val="decimal"/>
      <w:suff w:val="nothing"/>
      <w:lvlText w:val="%1"/>
      <w:lvlJc w:val="left"/>
      <w:pPr>
        <w:ind w:left="846" w:hanging="420"/>
      </w:pPr>
      <w:rPr>
        <w:rFonts w:hint="eastAsia"/>
      </w:rPr>
    </w:lvl>
    <w:lvl w:ilvl="1" w:tentative="0">
      <w:start w:val="1"/>
      <w:numFmt w:val="lowerLetter"/>
      <w:lvlText w:val="%2)"/>
      <w:lvlJc w:val="left"/>
      <w:pPr>
        <w:tabs>
          <w:tab w:val="left" w:pos="937"/>
        </w:tabs>
        <w:ind w:left="937" w:hanging="420"/>
      </w:pPr>
      <w:rPr>
        <w:rFonts w:hint="eastAsia"/>
      </w:rPr>
    </w:lvl>
    <w:lvl w:ilvl="2" w:tentative="0">
      <w:start w:val="1"/>
      <w:numFmt w:val="lowerRoman"/>
      <w:lvlText w:val="%3."/>
      <w:lvlJc w:val="right"/>
      <w:pPr>
        <w:tabs>
          <w:tab w:val="left" w:pos="1357"/>
        </w:tabs>
        <w:ind w:left="1357" w:hanging="420"/>
      </w:pPr>
      <w:rPr>
        <w:rFonts w:hint="eastAsia"/>
      </w:rPr>
    </w:lvl>
    <w:lvl w:ilvl="3" w:tentative="0">
      <w:start w:val="1"/>
      <w:numFmt w:val="decimal"/>
      <w:lvlText w:val="%4."/>
      <w:lvlJc w:val="left"/>
      <w:pPr>
        <w:tabs>
          <w:tab w:val="left" w:pos="1777"/>
        </w:tabs>
        <w:ind w:left="1777" w:hanging="420"/>
      </w:pPr>
      <w:rPr>
        <w:rFonts w:hint="eastAsia"/>
      </w:rPr>
    </w:lvl>
    <w:lvl w:ilvl="4" w:tentative="0">
      <w:start w:val="1"/>
      <w:numFmt w:val="lowerLetter"/>
      <w:lvlText w:val="%5)"/>
      <w:lvlJc w:val="left"/>
      <w:pPr>
        <w:tabs>
          <w:tab w:val="left" w:pos="2197"/>
        </w:tabs>
        <w:ind w:left="2197" w:hanging="420"/>
      </w:pPr>
      <w:rPr>
        <w:rFonts w:hint="eastAsia"/>
      </w:rPr>
    </w:lvl>
    <w:lvl w:ilvl="5" w:tentative="0">
      <w:start w:val="1"/>
      <w:numFmt w:val="lowerRoman"/>
      <w:lvlText w:val="%6."/>
      <w:lvlJc w:val="right"/>
      <w:pPr>
        <w:tabs>
          <w:tab w:val="left" w:pos="2617"/>
        </w:tabs>
        <w:ind w:left="2617" w:hanging="420"/>
      </w:pPr>
      <w:rPr>
        <w:rFonts w:hint="eastAsia"/>
      </w:rPr>
    </w:lvl>
    <w:lvl w:ilvl="6" w:tentative="0">
      <w:start w:val="1"/>
      <w:numFmt w:val="decimal"/>
      <w:lvlText w:val="%7."/>
      <w:lvlJc w:val="left"/>
      <w:pPr>
        <w:tabs>
          <w:tab w:val="left" w:pos="3037"/>
        </w:tabs>
        <w:ind w:left="3037" w:hanging="420"/>
      </w:pPr>
      <w:rPr>
        <w:rFonts w:hint="eastAsia"/>
      </w:rPr>
    </w:lvl>
    <w:lvl w:ilvl="7" w:tentative="0">
      <w:start w:val="1"/>
      <w:numFmt w:val="lowerLetter"/>
      <w:lvlText w:val="%8)"/>
      <w:lvlJc w:val="left"/>
      <w:pPr>
        <w:tabs>
          <w:tab w:val="left" w:pos="3457"/>
        </w:tabs>
        <w:ind w:left="3457" w:hanging="420"/>
      </w:pPr>
      <w:rPr>
        <w:rFonts w:hint="eastAsia"/>
      </w:rPr>
    </w:lvl>
    <w:lvl w:ilvl="8" w:tentative="0">
      <w:start w:val="1"/>
      <w:numFmt w:val="lowerRoman"/>
      <w:lvlText w:val="%9."/>
      <w:lvlJc w:val="right"/>
      <w:pPr>
        <w:tabs>
          <w:tab w:val="left" w:pos="3877"/>
        </w:tabs>
        <w:ind w:left="3877" w:hanging="420"/>
      </w:pPr>
      <w:rPr>
        <w:rFonts w:hint="eastAsia"/>
      </w:rPr>
    </w:lvl>
  </w:abstractNum>
  <w:abstractNum w:abstractNumId="10">
    <w:nsid w:val="0CA2892E"/>
    <w:multiLevelType w:val="singleLevel"/>
    <w:tmpl w:val="0CA2892E"/>
    <w:lvl w:ilvl="0" w:tentative="0">
      <w:start w:val="1"/>
      <w:numFmt w:val="decimal"/>
      <w:suff w:val="nothing"/>
      <w:lvlText w:val="%1．"/>
      <w:lvlJc w:val="left"/>
      <w:pPr>
        <w:ind w:left="0" w:firstLine="400"/>
      </w:pPr>
      <w:rPr>
        <w:rFonts w:hint="default"/>
      </w:rPr>
    </w:lvl>
  </w:abstractNum>
  <w:abstractNum w:abstractNumId="11">
    <w:nsid w:val="140B64ED"/>
    <w:multiLevelType w:val="singleLevel"/>
    <w:tmpl w:val="140B64ED"/>
    <w:lvl w:ilvl="0" w:tentative="0">
      <w:start w:val="1"/>
      <w:numFmt w:val="decimal"/>
      <w:suff w:val="nothing"/>
      <w:lvlText w:val="%1．"/>
      <w:lvlJc w:val="left"/>
      <w:pPr>
        <w:ind w:left="0" w:firstLine="400"/>
      </w:pPr>
      <w:rPr>
        <w:rFonts w:hint="default"/>
      </w:rPr>
    </w:lvl>
  </w:abstractNum>
  <w:abstractNum w:abstractNumId="12">
    <w:nsid w:val="168DFD9A"/>
    <w:multiLevelType w:val="singleLevel"/>
    <w:tmpl w:val="168DFD9A"/>
    <w:lvl w:ilvl="0" w:tentative="0">
      <w:start w:val="1"/>
      <w:numFmt w:val="decimal"/>
      <w:suff w:val="nothing"/>
      <w:lvlText w:val="%1．"/>
      <w:lvlJc w:val="left"/>
      <w:pPr>
        <w:ind w:left="0" w:firstLine="400"/>
      </w:pPr>
      <w:rPr>
        <w:rFonts w:hint="default"/>
      </w:rPr>
    </w:lvl>
  </w:abstractNum>
  <w:abstractNum w:abstractNumId="13">
    <w:nsid w:val="23913B55"/>
    <w:multiLevelType w:val="multilevel"/>
    <w:tmpl w:val="23913B55"/>
    <w:lvl w:ilvl="0" w:tentative="0">
      <w:start w:val="1"/>
      <w:numFmt w:val="decimal"/>
      <w:suff w:val="nothing"/>
      <w:lvlText w:val="%1"/>
      <w:lvlJc w:val="center"/>
      <w:pPr>
        <w:ind w:left="180" w:firstLine="0"/>
      </w:pPr>
      <w:rPr>
        <w:rFonts w:hint="eastAsia"/>
      </w:rPr>
    </w:lvl>
    <w:lvl w:ilvl="1" w:tentative="0">
      <w:start w:val="1"/>
      <w:numFmt w:val="lowerLetter"/>
      <w:lvlText w:val="%2)"/>
      <w:lvlJc w:val="left"/>
      <w:pPr>
        <w:tabs>
          <w:tab w:val="left" w:pos="1020"/>
        </w:tabs>
        <w:ind w:left="1020" w:hanging="420"/>
      </w:pPr>
      <w:rPr>
        <w:rFonts w:hint="eastAsia"/>
      </w:rPr>
    </w:lvl>
    <w:lvl w:ilvl="2" w:tentative="0">
      <w:start w:val="1"/>
      <w:numFmt w:val="lowerRoman"/>
      <w:lvlText w:val="%3."/>
      <w:lvlJc w:val="right"/>
      <w:pPr>
        <w:tabs>
          <w:tab w:val="left" w:pos="1440"/>
        </w:tabs>
        <w:ind w:left="1440" w:hanging="420"/>
      </w:pPr>
      <w:rPr>
        <w:rFonts w:hint="eastAsia"/>
      </w:rPr>
    </w:lvl>
    <w:lvl w:ilvl="3" w:tentative="0">
      <w:start w:val="1"/>
      <w:numFmt w:val="decimal"/>
      <w:lvlText w:val="%4."/>
      <w:lvlJc w:val="left"/>
      <w:pPr>
        <w:tabs>
          <w:tab w:val="left" w:pos="1860"/>
        </w:tabs>
        <w:ind w:left="1860" w:hanging="420"/>
      </w:pPr>
      <w:rPr>
        <w:rFonts w:hint="eastAsia"/>
      </w:rPr>
    </w:lvl>
    <w:lvl w:ilvl="4" w:tentative="0">
      <w:start w:val="1"/>
      <w:numFmt w:val="lowerLetter"/>
      <w:lvlText w:val="%5)"/>
      <w:lvlJc w:val="left"/>
      <w:pPr>
        <w:tabs>
          <w:tab w:val="left" w:pos="2280"/>
        </w:tabs>
        <w:ind w:left="2280" w:hanging="420"/>
      </w:pPr>
      <w:rPr>
        <w:rFonts w:hint="eastAsia"/>
      </w:rPr>
    </w:lvl>
    <w:lvl w:ilvl="5" w:tentative="0">
      <w:start w:val="1"/>
      <w:numFmt w:val="lowerRoman"/>
      <w:lvlText w:val="%6."/>
      <w:lvlJc w:val="right"/>
      <w:pPr>
        <w:tabs>
          <w:tab w:val="left" w:pos="2700"/>
        </w:tabs>
        <w:ind w:left="2700" w:hanging="420"/>
      </w:pPr>
      <w:rPr>
        <w:rFonts w:hint="eastAsia"/>
      </w:rPr>
    </w:lvl>
    <w:lvl w:ilvl="6" w:tentative="0">
      <w:start w:val="1"/>
      <w:numFmt w:val="decimal"/>
      <w:lvlText w:val="%7."/>
      <w:lvlJc w:val="left"/>
      <w:pPr>
        <w:tabs>
          <w:tab w:val="left" w:pos="3120"/>
        </w:tabs>
        <w:ind w:left="3120" w:hanging="420"/>
      </w:pPr>
      <w:rPr>
        <w:rFonts w:hint="eastAsia"/>
      </w:rPr>
    </w:lvl>
    <w:lvl w:ilvl="7" w:tentative="0">
      <w:start w:val="1"/>
      <w:numFmt w:val="lowerLetter"/>
      <w:lvlText w:val="%8)"/>
      <w:lvlJc w:val="left"/>
      <w:pPr>
        <w:tabs>
          <w:tab w:val="left" w:pos="3540"/>
        </w:tabs>
        <w:ind w:left="3540" w:hanging="420"/>
      </w:pPr>
      <w:rPr>
        <w:rFonts w:hint="eastAsia"/>
      </w:rPr>
    </w:lvl>
    <w:lvl w:ilvl="8" w:tentative="0">
      <w:start w:val="1"/>
      <w:numFmt w:val="lowerRoman"/>
      <w:lvlText w:val="%9."/>
      <w:lvlJc w:val="right"/>
      <w:pPr>
        <w:tabs>
          <w:tab w:val="left" w:pos="3960"/>
        </w:tabs>
        <w:ind w:left="3960" w:hanging="420"/>
      </w:pPr>
      <w:rPr>
        <w:rFonts w:hint="eastAsia"/>
      </w:rPr>
    </w:lvl>
  </w:abstractNum>
  <w:abstractNum w:abstractNumId="14">
    <w:nsid w:val="3DB984ED"/>
    <w:multiLevelType w:val="singleLevel"/>
    <w:tmpl w:val="3DB984ED"/>
    <w:lvl w:ilvl="0" w:tentative="0">
      <w:start w:val="1"/>
      <w:numFmt w:val="decimal"/>
      <w:suff w:val="nothing"/>
      <w:lvlText w:val="%1．"/>
      <w:lvlJc w:val="left"/>
      <w:pPr>
        <w:ind w:left="168" w:firstLine="400"/>
      </w:pPr>
      <w:rPr>
        <w:rFonts w:hint="default"/>
      </w:rPr>
    </w:lvl>
  </w:abstractNum>
  <w:abstractNum w:abstractNumId="15">
    <w:nsid w:val="5DD447EA"/>
    <w:multiLevelType w:val="multilevel"/>
    <w:tmpl w:val="5DD447EA"/>
    <w:lvl w:ilvl="0" w:tentative="0">
      <w:start w:val="1"/>
      <w:numFmt w:val="decimal"/>
      <w:lvlText w:val="%1."/>
      <w:lvlJc w:val="left"/>
      <w:pPr>
        <w:tabs>
          <w:tab w:val="left" w:pos="420"/>
        </w:tabs>
        <w:ind w:left="420" w:hanging="420"/>
      </w:pPr>
      <w:rPr>
        <w:rFonts w:hint="default" w:ascii="Times New Roman" w:hAnsi="Times New Roman" w:cs="Times New Roman"/>
        <w:sz w:val="28"/>
        <w:szCs w:val="28"/>
      </w:rPr>
    </w:lvl>
    <w:lvl w:ilvl="1" w:tentative="0">
      <w:start w:val="1"/>
      <w:numFmt w:val="decimal"/>
      <w:lvlText w:val="%2．"/>
      <w:lvlJc w:val="left"/>
      <w:pPr>
        <w:tabs>
          <w:tab w:val="left" w:pos="780"/>
        </w:tabs>
        <w:ind w:left="780" w:hanging="360"/>
      </w:pPr>
      <w:rPr>
        <w:rFonts w:hint="default"/>
      </w:rPr>
    </w:lvl>
    <w:lvl w:ilvl="2" w:tentative="0">
      <w:start w:val="1"/>
      <w:numFmt w:val="decimal"/>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6">
    <w:nsid w:val="64293BCC"/>
    <w:multiLevelType w:val="multilevel"/>
    <w:tmpl w:val="64293BCC"/>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7">
    <w:nsid w:val="6BE6238A"/>
    <w:multiLevelType w:val="multilevel"/>
    <w:tmpl w:val="6BE6238A"/>
    <w:lvl w:ilvl="0" w:tentative="0">
      <w:start w:val="1"/>
      <w:numFmt w:val="decimal"/>
      <w:suff w:val="nothing"/>
      <w:lvlText w:val="%1"/>
      <w:lvlJc w:val="left"/>
      <w:pPr>
        <w:ind w:left="0" w:firstLine="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2"/>
  </w:num>
  <w:num w:numId="3">
    <w:abstractNumId w:val="14"/>
  </w:num>
  <w:num w:numId="4">
    <w:abstractNumId w:val="12"/>
  </w:num>
  <w:num w:numId="5">
    <w:abstractNumId w:val="11"/>
  </w:num>
  <w:num w:numId="6">
    <w:abstractNumId w:val="4"/>
  </w:num>
  <w:num w:numId="7">
    <w:abstractNumId w:val="10"/>
  </w:num>
  <w:num w:numId="8">
    <w:abstractNumId w:val="13"/>
  </w:num>
  <w:num w:numId="9">
    <w:abstractNumId w:val="0"/>
  </w:num>
  <w:num w:numId="10">
    <w:abstractNumId w:val="15"/>
  </w:num>
  <w:num w:numId="11">
    <w:abstractNumId w:val="1"/>
  </w:num>
  <w:num w:numId="12">
    <w:abstractNumId w:val="9"/>
  </w:num>
  <w:num w:numId="13">
    <w:abstractNumId w:val="7"/>
  </w:num>
  <w:num w:numId="14">
    <w:abstractNumId w:val="17"/>
  </w:num>
  <w:num w:numId="15">
    <w:abstractNumId w:val="5"/>
  </w:num>
  <w:num w:numId="16">
    <w:abstractNumId w:val="6"/>
  </w:num>
  <w:num w:numId="17">
    <w:abstractNumId w:val="16"/>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240"/>
  <w:drawingGridVerticalSpacing w:val="16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NmU1OTY3NjI3MzJkNjE2MWQ5NWQzNDQ5ZGE5ODAifQ=="/>
  </w:docVars>
  <w:rsids>
    <w:rsidRoot w:val="00172A27"/>
    <w:rsid w:val="00006998"/>
    <w:rsid w:val="00011BEB"/>
    <w:rsid w:val="00013230"/>
    <w:rsid w:val="000143CE"/>
    <w:rsid w:val="00015AA4"/>
    <w:rsid w:val="0002183E"/>
    <w:rsid w:val="000271E2"/>
    <w:rsid w:val="00033D39"/>
    <w:rsid w:val="00035388"/>
    <w:rsid w:val="00036EEE"/>
    <w:rsid w:val="00037F16"/>
    <w:rsid w:val="0004299A"/>
    <w:rsid w:val="00051A59"/>
    <w:rsid w:val="000571C7"/>
    <w:rsid w:val="000610B4"/>
    <w:rsid w:val="0006434A"/>
    <w:rsid w:val="00064C81"/>
    <w:rsid w:val="00067D90"/>
    <w:rsid w:val="00072B27"/>
    <w:rsid w:val="0008014A"/>
    <w:rsid w:val="0008228B"/>
    <w:rsid w:val="0009074E"/>
    <w:rsid w:val="000954E0"/>
    <w:rsid w:val="000A2387"/>
    <w:rsid w:val="000A520F"/>
    <w:rsid w:val="000A7803"/>
    <w:rsid w:val="000B23A6"/>
    <w:rsid w:val="000B7E09"/>
    <w:rsid w:val="000D23AB"/>
    <w:rsid w:val="000D5390"/>
    <w:rsid w:val="000E1AE4"/>
    <w:rsid w:val="000E345A"/>
    <w:rsid w:val="000E5020"/>
    <w:rsid w:val="000E5C5F"/>
    <w:rsid w:val="001015B6"/>
    <w:rsid w:val="0011146C"/>
    <w:rsid w:val="00145AF4"/>
    <w:rsid w:val="00160700"/>
    <w:rsid w:val="00172A27"/>
    <w:rsid w:val="001755BE"/>
    <w:rsid w:val="0018057B"/>
    <w:rsid w:val="001944A8"/>
    <w:rsid w:val="00196E91"/>
    <w:rsid w:val="00197933"/>
    <w:rsid w:val="001A2703"/>
    <w:rsid w:val="001B3083"/>
    <w:rsid w:val="001C0913"/>
    <w:rsid w:val="001C2ED8"/>
    <w:rsid w:val="001D5B4F"/>
    <w:rsid w:val="001E4069"/>
    <w:rsid w:val="001F09DF"/>
    <w:rsid w:val="001F5D69"/>
    <w:rsid w:val="001F6F48"/>
    <w:rsid w:val="00204047"/>
    <w:rsid w:val="00214E72"/>
    <w:rsid w:val="00217987"/>
    <w:rsid w:val="00246C63"/>
    <w:rsid w:val="00260F08"/>
    <w:rsid w:val="00265537"/>
    <w:rsid w:val="002661BB"/>
    <w:rsid w:val="00270D65"/>
    <w:rsid w:val="00284A57"/>
    <w:rsid w:val="00297846"/>
    <w:rsid w:val="002A7D93"/>
    <w:rsid w:val="002B64D3"/>
    <w:rsid w:val="002B7B97"/>
    <w:rsid w:val="002C09B5"/>
    <w:rsid w:val="002D2180"/>
    <w:rsid w:val="002D51A5"/>
    <w:rsid w:val="002E7238"/>
    <w:rsid w:val="002F09D4"/>
    <w:rsid w:val="002F401D"/>
    <w:rsid w:val="003044F6"/>
    <w:rsid w:val="00305CE7"/>
    <w:rsid w:val="0032329B"/>
    <w:rsid w:val="00323885"/>
    <w:rsid w:val="00325284"/>
    <w:rsid w:val="00327FEC"/>
    <w:rsid w:val="003371AB"/>
    <w:rsid w:val="00342953"/>
    <w:rsid w:val="00350136"/>
    <w:rsid w:val="00353D5B"/>
    <w:rsid w:val="003640A7"/>
    <w:rsid w:val="003706BC"/>
    <w:rsid w:val="00373F18"/>
    <w:rsid w:val="00397087"/>
    <w:rsid w:val="003A1F96"/>
    <w:rsid w:val="003D0C2A"/>
    <w:rsid w:val="003E17E6"/>
    <w:rsid w:val="003F4328"/>
    <w:rsid w:val="003F7E18"/>
    <w:rsid w:val="004051C2"/>
    <w:rsid w:val="00407006"/>
    <w:rsid w:val="00412B02"/>
    <w:rsid w:val="00434F01"/>
    <w:rsid w:val="00436850"/>
    <w:rsid w:val="004378CB"/>
    <w:rsid w:val="004404CC"/>
    <w:rsid w:val="00443CC1"/>
    <w:rsid w:val="00443E56"/>
    <w:rsid w:val="0044573C"/>
    <w:rsid w:val="0045018E"/>
    <w:rsid w:val="00451609"/>
    <w:rsid w:val="004545C5"/>
    <w:rsid w:val="00456F03"/>
    <w:rsid w:val="00460F0D"/>
    <w:rsid w:val="00471044"/>
    <w:rsid w:val="004757D3"/>
    <w:rsid w:val="00477680"/>
    <w:rsid w:val="0048051F"/>
    <w:rsid w:val="00482685"/>
    <w:rsid w:val="00483D92"/>
    <w:rsid w:val="0048477C"/>
    <w:rsid w:val="004904B4"/>
    <w:rsid w:val="004968C7"/>
    <w:rsid w:val="004A2A83"/>
    <w:rsid w:val="004B1119"/>
    <w:rsid w:val="004B2B21"/>
    <w:rsid w:val="004C32B0"/>
    <w:rsid w:val="004D0AD8"/>
    <w:rsid w:val="004D583E"/>
    <w:rsid w:val="004E21E3"/>
    <w:rsid w:val="004F4166"/>
    <w:rsid w:val="004F5A97"/>
    <w:rsid w:val="0050230D"/>
    <w:rsid w:val="005065AA"/>
    <w:rsid w:val="00515485"/>
    <w:rsid w:val="0051778E"/>
    <w:rsid w:val="005238D7"/>
    <w:rsid w:val="00526491"/>
    <w:rsid w:val="005411F7"/>
    <w:rsid w:val="00553419"/>
    <w:rsid w:val="0056508E"/>
    <w:rsid w:val="00570C7A"/>
    <w:rsid w:val="0057294C"/>
    <w:rsid w:val="005763F8"/>
    <w:rsid w:val="00581B39"/>
    <w:rsid w:val="00591CB0"/>
    <w:rsid w:val="005A0120"/>
    <w:rsid w:val="005A3222"/>
    <w:rsid w:val="005A5ED0"/>
    <w:rsid w:val="005E1F9C"/>
    <w:rsid w:val="005F01F2"/>
    <w:rsid w:val="005F03D0"/>
    <w:rsid w:val="005F3A4B"/>
    <w:rsid w:val="005F6771"/>
    <w:rsid w:val="0060058A"/>
    <w:rsid w:val="006025E5"/>
    <w:rsid w:val="00605436"/>
    <w:rsid w:val="00607C2B"/>
    <w:rsid w:val="00614EB6"/>
    <w:rsid w:val="00617F47"/>
    <w:rsid w:val="0062600C"/>
    <w:rsid w:val="00642A43"/>
    <w:rsid w:val="006474E3"/>
    <w:rsid w:val="00650B22"/>
    <w:rsid w:val="00655FD9"/>
    <w:rsid w:val="00662EA8"/>
    <w:rsid w:val="00666A5B"/>
    <w:rsid w:val="0067327A"/>
    <w:rsid w:val="00674498"/>
    <w:rsid w:val="006772E7"/>
    <w:rsid w:val="00683C0A"/>
    <w:rsid w:val="00691B1D"/>
    <w:rsid w:val="006932DB"/>
    <w:rsid w:val="006A2346"/>
    <w:rsid w:val="006A49D1"/>
    <w:rsid w:val="006A728F"/>
    <w:rsid w:val="006E3D40"/>
    <w:rsid w:val="006E5045"/>
    <w:rsid w:val="006F6192"/>
    <w:rsid w:val="00702BEA"/>
    <w:rsid w:val="00703D35"/>
    <w:rsid w:val="007110CE"/>
    <w:rsid w:val="00713E40"/>
    <w:rsid w:val="00730FE3"/>
    <w:rsid w:val="007321D3"/>
    <w:rsid w:val="007327FA"/>
    <w:rsid w:val="00745521"/>
    <w:rsid w:val="00746EC0"/>
    <w:rsid w:val="007479A6"/>
    <w:rsid w:val="00753252"/>
    <w:rsid w:val="00755EF4"/>
    <w:rsid w:val="00756378"/>
    <w:rsid w:val="00761457"/>
    <w:rsid w:val="0076215F"/>
    <w:rsid w:val="00766723"/>
    <w:rsid w:val="0078195B"/>
    <w:rsid w:val="00782F11"/>
    <w:rsid w:val="007862F5"/>
    <w:rsid w:val="00787931"/>
    <w:rsid w:val="0079072F"/>
    <w:rsid w:val="007A44B3"/>
    <w:rsid w:val="007B7D90"/>
    <w:rsid w:val="007B7F98"/>
    <w:rsid w:val="007C34A9"/>
    <w:rsid w:val="007D1143"/>
    <w:rsid w:val="007E7F6F"/>
    <w:rsid w:val="007F2206"/>
    <w:rsid w:val="007F2C90"/>
    <w:rsid w:val="00800E57"/>
    <w:rsid w:val="00805446"/>
    <w:rsid w:val="00810BA7"/>
    <w:rsid w:val="00812882"/>
    <w:rsid w:val="00842672"/>
    <w:rsid w:val="00842840"/>
    <w:rsid w:val="00853783"/>
    <w:rsid w:val="00853F61"/>
    <w:rsid w:val="008548B1"/>
    <w:rsid w:val="00855449"/>
    <w:rsid w:val="00856F20"/>
    <w:rsid w:val="0087242D"/>
    <w:rsid w:val="0088517F"/>
    <w:rsid w:val="00895439"/>
    <w:rsid w:val="008A75C1"/>
    <w:rsid w:val="008B6AA8"/>
    <w:rsid w:val="008B6D0D"/>
    <w:rsid w:val="008B6D57"/>
    <w:rsid w:val="008C3E45"/>
    <w:rsid w:val="008D2021"/>
    <w:rsid w:val="008D468B"/>
    <w:rsid w:val="008F050D"/>
    <w:rsid w:val="009222AF"/>
    <w:rsid w:val="0092399B"/>
    <w:rsid w:val="00940599"/>
    <w:rsid w:val="00942F19"/>
    <w:rsid w:val="00951FD5"/>
    <w:rsid w:val="00955B61"/>
    <w:rsid w:val="00956514"/>
    <w:rsid w:val="00961FC7"/>
    <w:rsid w:val="009650E6"/>
    <w:rsid w:val="00965890"/>
    <w:rsid w:val="00970A06"/>
    <w:rsid w:val="00972065"/>
    <w:rsid w:val="00976C49"/>
    <w:rsid w:val="00977D0B"/>
    <w:rsid w:val="00980477"/>
    <w:rsid w:val="0098155F"/>
    <w:rsid w:val="009831A8"/>
    <w:rsid w:val="009834EF"/>
    <w:rsid w:val="00987505"/>
    <w:rsid w:val="009B24BA"/>
    <w:rsid w:val="009B64CB"/>
    <w:rsid w:val="009D1CE6"/>
    <w:rsid w:val="009D20D4"/>
    <w:rsid w:val="009D7320"/>
    <w:rsid w:val="009D7483"/>
    <w:rsid w:val="009E4433"/>
    <w:rsid w:val="009E6509"/>
    <w:rsid w:val="009F4461"/>
    <w:rsid w:val="00A02BF1"/>
    <w:rsid w:val="00A031C2"/>
    <w:rsid w:val="00A0425E"/>
    <w:rsid w:val="00A0742B"/>
    <w:rsid w:val="00A13FEF"/>
    <w:rsid w:val="00A1626A"/>
    <w:rsid w:val="00A20146"/>
    <w:rsid w:val="00A23BB5"/>
    <w:rsid w:val="00A25E0B"/>
    <w:rsid w:val="00A35E77"/>
    <w:rsid w:val="00A36296"/>
    <w:rsid w:val="00A376CD"/>
    <w:rsid w:val="00A37C12"/>
    <w:rsid w:val="00A43301"/>
    <w:rsid w:val="00A465FF"/>
    <w:rsid w:val="00A529A5"/>
    <w:rsid w:val="00A530DF"/>
    <w:rsid w:val="00A544FE"/>
    <w:rsid w:val="00A577CA"/>
    <w:rsid w:val="00A57A90"/>
    <w:rsid w:val="00A62827"/>
    <w:rsid w:val="00A65EA8"/>
    <w:rsid w:val="00A66388"/>
    <w:rsid w:val="00A66CBF"/>
    <w:rsid w:val="00A673D9"/>
    <w:rsid w:val="00A941FA"/>
    <w:rsid w:val="00A9636D"/>
    <w:rsid w:val="00A97D66"/>
    <w:rsid w:val="00AA0E7A"/>
    <w:rsid w:val="00AB0905"/>
    <w:rsid w:val="00AB40CF"/>
    <w:rsid w:val="00AC0E0D"/>
    <w:rsid w:val="00AC3843"/>
    <w:rsid w:val="00AD09AD"/>
    <w:rsid w:val="00AD16FB"/>
    <w:rsid w:val="00AD31D3"/>
    <w:rsid w:val="00AD3809"/>
    <w:rsid w:val="00AD4A2D"/>
    <w:rsid w:val="00AE0893"/>
    <w:rsid w:val="00AE0B3A"/>
    <w:rsid w:val="00AE44C0"/>
    <w:rsid w:val="00AE57E4"/>
    <w:rsid w:val="00AF4C1A"/>
    <w:rsid w:val="00B141ED"/>
    <w:rsid w:val="00B14B11"/>
    <w:rsid w:val="00B14B66"/>
    <w:rsid w:val="00B21671"/>
    <w:rsid w:val="00B24E07"/>
    <w:rsid w:val="00B25EB4"/>
    <w:rsid w:val="00B3251C"/>
    <w:rsid w:val="00B32A57"/>
    <w:rsid w:val="00B35E9D"/>
    <w:rsid w:val="00B42914"/>
    <w:rsid w:val="00B50860"/>
    <w:rsid w:val="00B508CA"/>
    <w:rsid w:val="00B60C1C"/>
    <w:rsid w:val="00B6332F"/>
    <w:rsid w:val="00B646D6"/>
    <w:rsid w:val="00B74116"/>
    <w:rsid w:val="00B7472D"/>
    <w:rsid w:val="00B76CB2"/>
    <w:rsid w:val="00B8198E"/>
    <w:rsid w:val="00B922D8"/>
    <w:rsid w:val="00B9523B"/>
    <w:rsid w:val="00B96869"/>
    <w:rsid w:val="00B968F1"/>
    <w:rsid w:val="00BA09EA"/>
    <w:rsid w:val="00BA21EA"/>
    <w:rsid w:val="00BA45E8"/>
    <w:rsid w:val="00BA6489"/>
    <w:rsid w:val="00BB2ED8"/>
    <w:rsid w:val="00BB5868"/>
    <w:rsid w:val="00BC1DA7"/>
    <w:rsid w:val="00BE1BB5"/>
    <w:rsid w:val="00C0077A"/>
    <w:rsid w:val="00C00999"/>
    <w:rsid w:val="00C1110A"/>
    <w:rsid w:val="00C16E32"/>
    <w:rsid w:val="00C17651"/>
    <w:rsid w:val="00C24145"/>
    <w:rsid w:val="00C277D1"/>
    <w:rsid w:val="00C27FDE"/>
    <w:rsid w:val="00C33C6A"/>
    <w:rsid w:val="00C54DF0"/>
    <w:rsid w:val="00C617ED"/>
    <w:rsid w:val="00C623D7"/>
    <w:rsid w:val="00C62B76"/>
    <w:rsid w:val="00C701FC"/>
    <w:rsid w:val="00C805FE"/>
    <w:rsid w:val="00C82F33"/>
    <w:rsid w:val="00C84F39"/>
    <w:rsid w:val="00C85CFB"/>
    <w:rsid w:val="00CB2669"/>
    <w:rsid w:val="00CB2BFB"/>
    <w:rsid w:val="00CB3A3A"/>
    <w:rsid w:val="00CD5491"/>
    <w:rsid w:val="00CD6AE7"/>
    <w:rsid w:val="00CD781F"/>
    <w:rsid w:val="00CE463D"/>
    <w:rsid w:val="00CE615B"/>
    <w:rsid w:val="00D0399F"/>
    <w:rsid w:val="00D07600"/>
    <w:rsid w:val="00D20610"/>
    <w:rsid w:val="00D22434"/>
    <w:rsid w:val="00D36569"/>
    <w:rsid w:val="00D4269E"/>
    <w:rsid w:val="00D54656"/>
    <w:rsid w:val="00D551EA"/>
    <w:rsid w:val="00D77120"/>
    <w:rsid w:val="00D7762F"/>
    <w:rsid w:val="00D87881"/>
    <w:rsid w:val="00D91D05"/>
    <w:rsid w:val="00D95CCA"/>
    <w:rsid w:val="00DA5875"/>
    <w:rsid w:val="00DB1868"/>
    <w:rsid w:val="00DC572B"/>
    <w:rsid w:val="00DC69A9"/>
    <w:rsid w:val="00DC7109"/>
    <w:rsid w:val="00DD7C38"/>
    <w:rsid w:val="00DD7FEB"/>
    <w:rsid w:val="00DF0390"/>
    <w:rsid w:val="00DF57F2"/>
    <w:rsid w:val="00E01A7E"/>
    <w:rsid w:val="00E057F4"/>
    <w:rsid w:val="00E05B51"/>
    <w:rsid w:val="00E06887"/>
    <w:rsid w:val="00E11DB5"/>
    <w:rsid w:val="00E1404C"/>
    <w:rsid w:val="00E20978"/>
    <w:rsid w:val="00E55A55"/>
    <w:rsid w:val="00E860B8"/>
    <w:rsid w:val="00EA0BD2"/>
    <w:rsid w:val="00EA2DC4"/>
    <w:rsid w:val="00EA514F"/>
    <w:rsid w:val="00EA6C70"/>
    <w:rsid w:val="00EB5C4E"/>
    <w:rsid w:val="00EB7535"/>
    <w:rsid w:val="00EE5DF9"/>
    <w:rsid w:val="00F005B8"/>
    <w:rsid w:val="00F062A9"/>
    <w:rsid w:val="00F11034"/>
    <w:rsid w:val="00F260C8"/>
    <w:rsid w:val="00F3393C"/>
    <w:rsid w:val="00F34369"/>
    <w:rsid w:val="00F37B20"/>
    <w:rsid w:val="00F576E6"/>
    <w:rsid w:val="00F57B5F"/>
    <w:rsid w:val="00F61EDD"/>
    <w:rsid w:val="00F65CE2"/>
    <w:rsid w:val="00F67AA2"/>
    <w:rsid w:val="00F70E24"/>
    <w:rsid w:val="00F714BA"/>
    <w:rsid w:val="00F91962"/>
    <w:rsid w:val="00F94CA3"/>
    <w:rsid w:val="00F97B1F"/>
    <w:rsid w:val="00FC2249"/>
    <w:rsid w:val="00FC446B"/>
    <w:rsid w:val="00FC53AF"/>
    <w:rsid w:val="00FD245D"/>
    <w:rsid w:val="00FD46A2"/>
    <w:rsid w:val="00FD5E43"/>
    <w:rsid w:val="00FE385A"/>
    <w:rsid w:val="00FE4B7D"/>
    <w:rsid w:val="01041A68"/>
    <w:rsid w:val="01100787"/>
    <w:rsid w:val="0127533C"/>
    <w:rsid w:val="014D13B1"/>
    <w:rsid w:val="015A56E8"/>
    <w:rsid w:val="01686513"/>
    <w:rsid w:val="017E1140"/>
    <w:rsid w:val="01830099"/>
    <w:rsid w:val="01885910"/>
    <w:rsid w:val="01896662"/>
    <w:rsid w:val="018D75B8"/>
    <w:rsid w:val="018F0C57"/>
    <w:rsid w:val="019C4253"/>
    <w:rsid w:val="01A55EC7"/>
    <w:rsid w:val="01A957BF"/>
    <w:rsid w:val="01AB7E6D"/>
    <w:rsid w:val="01F07E3D"/>
    <w:rsid w:val="01FA686D"/>
    <w:rsid w:val="02021E22"/>
    <w:rsid w:val="02321934"/>
    <w:rsid w:val="025857DA"/>
    <w:rsid w:val="027613FB"/>
    <w:rsid w:val="02802564"/>
    <w:rsid w:val="02804562"/>
    <w:rsid w:val="0282713E"/>
    <w:rsid w:val="028C4DC0"/>
    <w:rsid w:val="02906A49"/>
    <w:rsid w:val="02AB7693"/>
    <w:rsid w:val="02B52903"/>
    <w:rsid w:val="02C06253"/>
    <w:rsid w:val="02C65EE3"/>
    <w:rsid w:val="0329473F"/>
    <w:rsid w:val="032E25F6"/>
    <w:rsid w:val="032F6FE9"/>
    <w:rsid w:val="034C7CAB"/>
    <w:rsid w:val="0351020E"/>
    <w:rsid w:val="03830AE2"/>
    <w:rsid w:val="03885E0E"/>
    <w:rsid w:val="03A75C2B"/>
    <w:rsid w:val="03AE2AAF"/>
    <w:rsid w:val="03B21148"/>
    <w:rsid w:val="03B253BC"/>
    <w:rsid w:val="03C06FDE"/>
    <w:rsid w:val="03C16E53"/>
    <w:rsid w:val="03C317DD"/>
    <w:rsid w:val="03D12E12"/>
    <w:rsid w:val="03DA6992"/>
    <w:rsid w:val="04155891"/>
    <w:rsid w:val="04165713"/>
    <w:rsid w:val="042F3B61"/>
    <w:rsid w:val="0447116D"/>
    <w:rsid w:val="04480A30"/>
    <w:rsid w:val="044B757D"/>
    <w:rsid w:val="04810847"/>
    <w:rsid w:val="048232F5"/>
    <w:rsid w:val="04833026"/>
    <w:rsid w:val="0489209E"/>
    <w:rsid w:val="048D037C"/>
    <w:rsid w:val="04955AAA"/>
    <w:rsid w:val="049D46DD"/>
    <w:rsid w:val="04AA214F"/>
    <w:rsid w:val="04AE46C9"/>
    <w:rsid w:val="04B30C95"/>
    <w:rsid w:val="04BD2FC6"/>
    <w:rsid w:val="04BF17A7"/>
    <w:rsid w:val="04C960AD"/>
    <w:rsid w:val="04CC794F"/>
    <w:rsid w:val="04D02DDE"/>
    <w:rsid w:val="04D07A99"/>
    <w:rsid w:val="04EC69E9"/>
    <w:rsid w:val="04F35B9A"/>
    <w:rsid w:val="05013149"/>
    <w:rsid w:val="050E47A2"/>
    <w:rsid w:val="05182F14"/>
    <w:rsid w:val="051B5A9C"/>
    <w:rsid w:val="053D3D9A"/>
    <w:rsid w:val="05922F3D"/>
    <w:rsid w:val="059670A5"/>
    <w:rsid w:val="05AE2600"/>
    <w:rsid w:val="05D01805"/>
    <w:rsid w:val="05D97C3E"/>
    <w:rsid w:val="05DA4531"/>
    <w:rsid w:val="05DD7851"/>
    <w:rsid w:val="05F63529"/>
    <w:rsid w:val="05FB0B46"/>
    <w:rsid w:val="060C7532"/>
    <w:rsid w:val="06191969"/>
    <w:rsid w:val="0625765B"/>
    <w:rsid w:val="06464D53"/>
    <w:rsid w:val="0668359C"/>
    <w:rsid w:val="067542EB"/>
    <w:rsid w:val="067A3519"/>
    <w:rsid w:val="068E11E5"/>
    <w:rsid w:val="06936FD0"/>
    <w:rsid w:val="069A2C83"/>
    <w:rsid w:val="06BE295F"/>
    <w:rsid w:val="06C62B81"/>
    <w:rsid w:val="06E73EB9"/>
    <w:rsid w:val="06F4797F"/>
    <w:rsid w:val="06F506AF"/>
    <w:rsid w:val="070954E4"/>
    <w:rsid w:val="070B34B2"/>
    <w:rsid w:val="071E5D66"/>
    <w:rsid w:val="071E7015"/>
    <w:rsid w:val="0767791B"/>
    <w:rsid w:val="077030DF"/>
    <w:rsid w:val="0778601E"/>
    <w:rsid w:val="07903D90"/>
    <w:rsid w:val="07906FC5"/>
    <w:rsid w:val="07A1335C"/>
    <w:rsid w:val="07B34AE8"/>
    <w:rsid w:val="07B62903"/>
    <w:rsid w:val="07CD2295"/>
    <w:rsid w:val="07D52EB7"/>
    <w:rsid w:val="07D77390"/>
    <w:rsid w:val="07E972C4"/>
    <w:rsid w:val="08180BAF"/>
    <w:rsid w:val="082B1E7E"/>
    <w:rsid w:val="083263AF"/>
    <w:rsid w:val="08361D57"/>
    <w:rsid w:val="0847795F"/>
    <w:rsid w:val="08530016"/>
    <w:rsid w:val="08674270"/>
    <w:rsid w:val="08733284"/>
    <w:rsid w:val="0874169B"/>
    <w:rsid w:val="087C0779"/>
    <w:rsid w:val="08935065"/>
    <w:rsid w:val="08A31D37"/>
    <w:rsid w:val="08B35707"/>
    <w:rsid w:val="08D97AD7"/>
    <w:rsid w:val="08DF5426"/>
    <w:rsid w:val="08ED7E01"/>
    <w:rsid w:val="08EE00FB"/>
    <w:rsid w:val="08F94C8B"/>
    <w:rsid w:val="09093D4F"/>
    <w:rsid w:val="091142A9"/>
    <w:rsid w:val="091E15AE"/>
    <w:rsid w:val="09307100"/>
    <w:rsid w:val="09336C5F"/>
    <w:rsid w:val="09360A67"/>
    <w:rsid w:val="094E64AB"/>
    <w:rsid w:val="09554A11"/>
    <w:rsid w:val="095E599C"/>
    <w:rsid w:val="09672D58"/>
    <w:rsid w:val="098D423D"/>
    <w:rsid w:val="09920739"/>
    <w:rsid w:val="09A47E25"/>
    <w:rsid w:val="09A54EB9"/>
    <w:rsid w:val="09A70C86"/>
    <w:rsid w:val="09AA4255"/>
    <w:rsid w:val="09AC7F46"/>
    <w:rsid w:val="09B06439"/>
    <w:rsid w:val="09B32C89"/>
    <w:rsid w:val="09BE593A"/>
    <w:rsid w:val="09C856D0"/>
    <w:rsid w:val="09D44961"/>
    <w:rsid w:val="09EF5D47"/>
    <w:rsid w:val="09FF0D49"/>
    <w:rsid w:val="0A043A3E"/>
    <w:rsid w:val="0A39196E"/>
    <w:rsid w:val="0A592D89"/>
    <w:rsid w:val="0A5D606F"/>
    <w:rsid w:val="0A6D371E"/>
    <w:rsid w:val="0A6E1B6F"/>
    <w:rsid w:val="0A7D1A76"/>
    <w:rsid w:val="0A832D96"/>
    <w:rsid w:val="0A9676C0"/>
    <w:rsid w:val="0A9A32E0"/>
    <w:rsid w:val="0A9D6014"/>
    <w:rsid w:val="0AA402D4"/>
    <w:rsid w:val="0ABE32B8"/>
    <w:rsid w:val="0AC44A4A"/>
    <w:rsid w:val="0ACE6829"/>
    <w:rsid w:val="0AE603C2"/>
    <w:rsid w:val="0AEA04A1"/>
    <w:rsid w:val="0AF30D0D"/>
    <w:rsid w:val="0AFB1189"/>
    <w:rsid w:val="0AFF6F61"/>
    <w:rsid w:val="0B0D235D"/>
    <w:rsid w:val="0B0D7E01"/>
    <w:rsid w:val="0B2A136B"/>
    <w:rsid w:val="0B2D7303"/>
    <w:rsid w:val="0B304DD2"/>
    <w:rsid w:val="0B3E2BB6"/>
    <w:rsid w:val="0B686454"/>
    <w:rsid w:val="0B7050C6"/>
    <w:rsid w:val="0B823419"/>
    <w:rsid w:val="0BA20AD4"/>
    <w:rsid w:val="0BC01E71"/>
    <w:rsid w:val="0BE06161"/>
    <w:rsid w:val="0BE27F74"/>
    <w:rsid w:val="0BF746B9"/>
    <w:rsid w:val="0BFE0645"/>
    <w:rsid w:val="0C0872B2"/>
    <w:rsid w:val="0C267C04"/>
    <w:rsid w:val="0C310F3E"/>
    <w:rsid w:val="0C6145FF"/>
    <w:rsid w:val="0C78475F"/>
    <w:rsid w:val="0C8A6ACC"/>
    <w:rsid w:val="0C9364E7"/>
    <w:rsid w:val="0CA92EAB"/>
    <w:rsid w:val="0CAF3A93"/>
    <w:rsid w:val="0CB932A9"/>
    <w:rsid w:val="0CC72065"/>
    <w:rsid w:val="0CEA78E1"/>
    <w:rsid w:val="0CFF0F1B"/>
    <w:rsid w:val="0D157F61"/>
    <w:rsid w:val="0D2D7395"/>
    <w:rsid w:val="0D3F3B82"/>
    <w:rsid w:val="0D454F61"/>
    <w:rsid w:val="0D484685"/>
    <w:rsid w:val="0D596071"/>
    <w:rsid w:val="0D6813B0"/>
    <w:rsid w:val="0D730691"/>
    <w:rsid w:val="0D735CCB"/>
    <w:rsid w:val="0D863EA9"/>
    <w:rsid w:val="0D877299"/>
    <w:rsid w:val="0D892919"/>
    <w:rsid w:val="0DA466A2"/>
    <w:rsid w:val="0DB040A8"/>
    <w:rsid w:val="0DB431F0"/>
    <w:rsid w:val="0DB77A48"/>
    <w:rsid w:val="0DE03350"/>
    <w:rsid w:val="0DE70DEB"/>
    <w:rsid w:val="0DF418E9"/>
    <w:rsid w:val="0DF465A6"/>
    <w:rsid w:val="0E0228E0"/>
    <w:rsid w:val="0E0D1A36"/>
    <w:rsid w:val="0E12718F"/>
    <w:rsid w:val="0E35158B"/>
    <w:rsid w:val="0E3F1FBF"/>
    <w:rsid w:val="0E4017C4"/>
    <w:rsid w:val="0E560419"/>
    <w:rsid w:val="0E682E12"/>
    <w:rsid w:val="0E6A4F53"/>
    <w:rsid w:val="0E6C2D30"/>
    <w:rsid w:val="0E72386F"/>
    <w:rsid w:val="0E741495"/>
    <w:rsid w:val="0E8004E8"/>
    <w:rsid w:val="0E960849"/>
    <w:rsid w:val="0E9733D5"/>
    <w:rsid w:val="0EB866F3"/>
    <w:rsid w:val="0EC55945"/>
    <w:rsid w:val="0ED2525D"/>
    <w:rsid w:val="0ED47586"/>
    <w:rsid w:val="0EE554BE"/>
    <w:rsid w:val="0EE814A1"/>
    <w:rsid w:val="0EF347E6"/>
    <w:rsid w:val="0EF55889"/>
    <w:rsid w:val="0F0859E8"/>
    <w:rsid w:val="0F1017DE"/>
    <w:rsid w:val="0F1D4EE8"/>
    <w:rsid w:val="0F343970"/>
    <w:rsid w:val="0F455F66"/>
    <w:rsid w:val="0F57773D"/>
    <w:rsid w:val="0F62376E"/>
    <w:rsid w:val="0F8170C3"/>
    <w:rsid w:val="0F863EB5"/>
    <w:rsid w:val="0FA5649A"/>
    <w:rsid w:val="0FAA2FD3"/>
    <w:rsid w:val="0FBA0DE9"/>
    <w:rsid w:val="0FC2663E"/>
    <w:rsid w:val="0FC921E2"/>
    <w:rsid w:val="0FDB4006"/>
    <w:rsid w:val="0FDF3A23"/>
    <w:rsid w:val="0FED099E"/>
    <w:rsid w:val="10022C46"/>
    <w:rsid w:val="10044A9B"/>
    <w:rsid w:val="1015087A"/>
    <w:rsid w:val="10231906"/>
    <w:rsid w:val="102A32DC"/>
    <w:rsid w:val="10384DFD"/>
    <w:rsid w:val="10400162"/>
    <w:rsid w:val="105837BE"/>
    <w:rsid w:val="10595CA8"/>
    <w:rsid w:val="105B0C88"/>
    <w:rsid w:val="10616BA3"/>
    <w:rsid w:val="106328A6"/>
    <w:rsid w:val="106B01AD"/>
    <w:rsid w:val="10876A93"/>
    <w:rsid w:val="108B4417"/>
    <w:rsid w:val="10A90F7C"/>
    <w:rsid w:val="10C25EDE"/>
    <w:rsid w:val="10E020F3"/>
    <w:rsid w:val="10F1473B"/>
    <w:rsid w:val="111C219A"/>
    <w:rsid w:val="111C5747"/>
    <w:rsid w:val="112B17C4"/>
    <w:rsid w:val="11326ECE"/>
    <w:rsid w:val="113C4C01"/>
    <w:rsid w:val="11417822"/>
    <w:rsid w:val="114523E5"/>
    <w:rsid w:val="11484717"/>
    <w:rsid w:val="116B7F9F"/>
    <w:rsid w:val="117439BB"/>
    <w:rsid w:val="11AF1E55"/>
    <w:rsid w:val="11BA61AF"/>
    <w:rsid w:val="11D933EC"/>
    <w:rsid w:val="11F27097"/>
    <w:rsid w:val="11FB3903"/>
    <w:rsid w:val="12016620"/>
    <w:rsid w:val="12036659"/>
    <w:rsid w:val="12070870"/>
    <w:rsid w:val="1208092E"/>
    <w:rsid w:val="12130C68"/>
    <w:rsid w:val="12227E62"/>
    <w:rsid w:val="122C3E57"/>
    <w:rsid w:val="126128B3"/>
    <w:rsid w:val="127959BF"/>
    <w:rsid w:val="127A2827"/>
    <w:rsid w:val="128D58B4"/>
    <w:rsid w:val="12A34203"/>
    <w:rsid w:val="12D51A90"/>
    <w:rsid w:val="12E5186E"/>
    <w:rsid w:val="12EC3FFB"/>
    <w:rsid w:val="12F1519B"/>
    <w:rsid w:val="130800FC"/>
    <w:rsid w:val="1314127C"/>
    <w:rsid w:val="13157A64"/>
    <w:rsid w:val="133726DD"/>
    <w:rsid w:val="134A310C"/>
    <w:rsid w:val="135C16A3"/>
    <w:rsid w:val="135F4757"/>
    <w:rsid w:val="13636AB7"/>
    <w:rsid w:val="136B7DE8"/>
    <w:rsid w:val="137026CB"/>
    <w:rsid w:val="13757F47"/>
    <w:rsid w:val="13761EC1"/>
    <w:rsid w:val="13776154"/>
    <w:rsid w:val="137B1545"/>
    <w:rsid w:val="138136B6"/>
    <w:rsid w:val="13932807"/>
    <w:rsid w:val="13966E84"/>
    <w:rsid w:val="139C3CAC"/>
    <w:rsid w:val="13A27EB9"/>
    <w:rsid w:val="13C3075C"/>
    <w:rsid w:val="13CB7BC1"/>
    <w:rsid w:val="13F54E08"/>
    <w:rsid w:val="14092680"/>
    <w:rsid w:val="140B2C6D"/>
    <w:rsid w:val="14196B0B"/>
    <w:rsid w:val="141F5F4D"/>
    <w:rsid w:val="14487711"/>
    <w:rsid w:val="145442B4"/>
    <w:rsid w:val="145558C5"/>
    <w:rsid w:val="14576A89"/>
    <w:rsid w:val="145B47E8"/>
    <w:rsid w:val="146F2311"/>
    <w:rsid w:val="14752314"/>
    <w:rsid w:val="147632FB"/>
    <w:rsid w:val="147D7FEC"/>
    <w:rsid w:val="14854B32"/>
    <w:rsid w:val="148A32A8"/>
    <w:rsid w:val="14965E90"/>
    <w:rsid w:val="14A55CDE"/>
    <w:rsid w:val="14AA6703"/>
    <w:rsid w:val="14C16118"/>
    <w:rsid w:val="14CC47C2"/>
    <w:rsid w:val="15180F75"/>
    <w:rsid w:val="153A13C2"/>
    <w:rsid w:val="153E5059"/>
    <w:rsid w:val="15406073"/>
    <w:rsid w:val="15692F96"/>
    <w:rsid w:val="157317D8"/>
    <w:rsid w:val="158538FE"/>
    <w:rsid w:val="15AA3EEC"/>
    <w:rsid w:val="15AA4AC9"/>
    <w:rsid w:val="15CC0FDB"/>
    <w:rsid w:val="15EE7FF3"/>
    <w:rsid w:val="15FC41F7"/>
    <w:rsid w:val="161B527E"/>
    <w:rsid w:val="16236608"/>
    <w:rsid w:val="162A02B0"/>
    <w:rsid w:val="163A7C24"/>
    <w:rsid w:val="165D523E"/>
    <w:rsid w:val="166168BB"/>
    <w:rsid w:val="1665255F"/>
    <w:rsid w:val="167409DD"/>
    <w:rsid w:val="168802B9"/>
    <w:rsid w:val="168B31EB"/>
    <w:rsid w:val="16A261B5"/>
    <w:rsid w:val="16A40A8A"/>
    <w:rsid w:val="16C110EB"/>
    <w:rsid w:val="16C938AA"/>
    <w:rsid w:val="16D52525"/>
    <w:rsid w:val="16EF3F6B"/>
    <w:rsid w:val="16FE75C5"/>
    <w:rsid w:val="170F1ACE"/>
    <w:rsid w:val="17140366"/>
    <w:rsid w:val="171620C1"/>
    <w:rsid w:val="171A0296"/>
    <w:rsid w:val="17222F77"/>
    <w:rsid w:val="17234A7C"/>
    <w:rsid w:val="17365DB5"/>
    <w:rsid w:val="173D5762"/>
    <w:rsid w:val="174923F9"/>
    <w:rsid w:val="175756C4"/>
    <w:rsid w:val="1772145A"/>
    <w:rsid w:val="17770683"/>
    <w:rsid w:val="177A2852"/>
    <w:rsid w:val="17841ABB"/>
    <w:rsid w:val="17C537E6"/>
    <w:rsid w:val="17C72E4B"/>
    <w:rsid w:val="17D41571"/>
    <w:rsid w:val="17EB6C6C"/>
    <w:rsid w:val="17F361EF"/>
    <w:rsid w:val="17FC1068"/>
    <w:rsid w:val="1808607A"/>
    <w:rsid w:val="182F4479"/>
    <w:rsid w:val="183D62C2"/>
    <w:rsid w:val="18492359"/>
    <w:rsid w:val="184D73A6"/>
    <w:rsid w:val="184E0B03"/>
    <w:rsid w:val="185D2F4B"/>
    <w:rsid w:val="18644328"/>
    <w:rsid w:val="18673E19"/>
    <w:rsid w:val="18774B9A"/>
    <w:rsid w:val="187C78C4"/>
    <w:rsid w:val="188F53F8"/>
    <w:rsid w:val="189B47E4"/>
    <w:rsid w:val="189E1F0E"/>
    <w:rsid w:val="18C54E6D"/>
    <w:rsid w:val="18CA0CDF"/>
    <w:rsid w:val="18D5553D"/>
    <w:rsid w:val="18F148A5"/>
    <w:rsid w:val="190D1D60"/>
    <w:rsid w:val="193E4785"/>
    <w:rsid w:val="195F3FE5"/>
    <w:rsid w:val="19604F1F"/>
    <w:rsid w:val="19723451"/>
    <w:rsid w:val="19850AD0"/>
    <w:rsid w:val="19883955"/>
    <w:rsid w:val="19A91329"/>
    <w:rsid w:val="19B47967"/>
    <w:rsid w:val="19BE6BF8"/>
    <w:rsid w:val="19CA34CE"/>
    <w:rsid w:val="19CD039D"/>
    <w:rsid w:val="19D91EF5"/>
    <w:rsid w:val="19EF2318"/>
    <w:rsid w:val="19FE7778"/>
    <w:rsid w:val="1A0D1849"/>
    <w:rsid w:val="1A200662"/>
    <w:rsid w:val="1A304E0A"/>
    <w:rsid w:val="1A391BE4"/>
    <w:rsid w:val="1A496483"/>
    <w:rsid w:val="1A5C56BC"/>
    <w:rsid w:val="1A654C5F"/>
    <w:rsid w:val="1A6A28EC"/>
    <w:rsid w:val="1A843DCE"/>
    <w:rsid w:val="1AAC2B20"/>
    <w:rsid w:val="1AAE6A00"/>
    <w:rsid w:val="1AC97AC8"/>
    <w:rsid w:val="1ACC0EDD"/>
    <w:rsid w:val="1AD71B8B"/>
    <w:rsid w:val="1AE91F42"/>
    <w:rsid w:val="1B0C332A"/>
    <w:rsid w:val="1B162E8B"/>
    <w:rsid w:val="1B205B7B"/>
    <w:rsid w:val="1B57078C"/>
    <w:rsid w:val="1B5A1A13"/>
    <w:rsid w:val="1B640570"/>
    <w:rsid w:val="1B680130"/>
    <w:rsid w:val="1B856EE4"/>
    <w:rsid w:val="1B8F15AC"/>
    <w:rsid w:val="1B9B4505"/>
    <w:rsid w:val="1BB30658"/>
    <w:rsid w:val="1BB401CE"/>
    <w:rsid w:val="1BB87C59"/>
    <w:rsid w:val="1BBF664B"/>
    <w:rsid w:val="1BE678F6"/>
    <w:rsid w:val="1C114DF5"/>
    <w:rsid w:val="1C182814"/>
    <w:rsid w:val="1C1E4A8A"/>
    <w:rsid w:val="1C607DB2"/>
    <w:rsid w:val="1C735B0F"/>
    <w:rsid w:val="1C7875BB"/>
    <w:rsid w:val="1C7E211D"/>
    <w:rsid w:val="1C8030E0"/>
    <w:rsid w:val="1C8300C0"/>
    <w:rsid w:val="1CA80D4F"/>
    <w:rsid w:val="1CA92652"/>
    <w:rsid w:val="1CAA5352"/>
    <w:rsid w:val="1CBE7EBE"/>
    <w:rsid w:val="1CD549AD"/>
    <w:rsid w:val="1CD8633F"/>
    <w:rsid w:val="1CF30FF7"/>
    <w:rsid w:val="1CF4490D"/>
    <w:rsid w:val="1CF70595"/>
    <w:rsid w:val="1CFF3061"/>
    <w:rsid w:val="1D13456F"/>
    <w:rsid w:val="1D181B85"/>
    <w:rsid w:val="1D284742"/>
    <w:rsid w:val="1D2D4A96"/>
    <w:rsid w:val="1D4C03BA"/>
    <w:rsid w:val="1D5447CD"/>
    <w:rsid w:val="1D664B1F"/>
    <w:rsid w:val="1D9F203F"/>
    <w:rsid w:val="1DA31A08"/>
    <w:rsid w:val="1DAB70EE"/>
    <w:rsid w:val="1DBC0763"/>
    <w:rsid w:val="1DDA1333"/>
    <w:rsid w:val="1DE60DC1"/>
    <w:rsid w:val="1DEB5E7F"/>
    <w:rsid w:val="1E2124A5"/>
    <w:rsid w:val="1E236E15"/>
    <w:rsid w:val="1E3A221B"/>
    <w:rsid w:val="1E3C498C"/>
    <w:rsid w:val="1E440365"/>
    <w:rsid w:val="1E473ECB"/>
    <w:rsid w:val="1E544E3F"/>
    <w:rsid w:val="1E614412"/>
    <w:rsid w:val="1E6E67D8"/>
    <w:rsid w:val="1E6F24AE"/>
    <w:rsid w:val="1EA07DF4"/>
    <w:rsid w:val="1EA15C48"/>
    <w:rsid w:val="1EA7740E"/>
    <w:rsid w:val="1EB42AC3"/>
    <w:rsid w:val="1EC975DB"/>
    <w:rsid w:val="1ED42437"/>
    <w:rsid w:val="1ED44095"/>
    <w:rsid w:val="1EE12B77"/>
    <w:rsid w:val="1EE241F9"/>
    <w:rsid w:val="1EFA240F"/>
    <w:rsid w:val="1EFC47D5"/>
    <w:rsid w:val="1F0625DD"/>
    <w:rsid w:val="1F17459F"/>
    <w:rsid w:val="1F1B731B"/>
    <w:rsid w:val="1F201FD9"/>
    <w:rsid w:val="1F38023E"/>
    <w:rsid w:val="1F4C49E8"/>
    <w:rsid w:val="1F824F9B"/>
    <w:rsid w:val="1FB27398"/>
    <w:rsid w:val="1FB369B2"/>
    <w:rsid w:val="1FB556DC"/>
    <w:rsid w:val="1FE217EC"/>
    <w:rsid w:val="20232E47"/>
    <w:rsid w:val="203027B7"/>
    <w:rsid w:val="20344F28"/>
    <w:rsid w:val="2056209C"/>
    <w:rsid w:val="205F7888"/>
    <w:rsid w:val="20606CE3"/>
    <w:rsid w:val="209B34FE"/>
    <w:rsid w:val="20A82E21"/>
    <w:rsid w:val="20B53428"/>
    <w:rsid w:val="20BA44AC"/>
    <w:rsid w:val="20EC5802"/>
    <w:rsid w:val="211966AF"/>
    <w:rsid w:val="2129343F"/>
    <w:rsid w:val="214365BE"/>
    <w:rsid w:val="216002CA"/>
    <w:rsid w:val="216E7970"/>
    <w:rsid w:val="217A307F"/>
    <w:rsid w:val="217A686A"/>
    <w:rsid w:val="217B67FD"/>
    <w:rsid w:val="219700F9"/>
    <w:rsid w:val="21AA44D0"/>
    <w:rsid w:val="21B11C37"/>
    <w:rsid w:val="21B31F32"/>
    <w:rsid w:val="21DA364A"/>
    <w:rsid w:val="21EC7E43"/>
    <w:rsid w:val="21F77CA1"/>
    <w:rsid w:val="220953A0"/>
    <w:rsid w:val="221809AB"/>
    <w:rsid w:val="221951D7"/>
    <w:rsid w:val="221C34CB"/>
    <w:rsid w:val="223A40EF"/>
    <w:rsid w:val="223C337E"/>
    <w:rsid w:val="22505469"/>
    <w:rsid w:val="225F4CC7"/>
    <w:rsid w:val="2269591C"/>
    <w:rsid w:val="22813D29"/>
    <w:rsid w:val="228C7754"/>
    <w:rsid w:val="22B16C1D"/>
    <w:rsid w:val="22B40633"/>
    <w:rsid w:val="22C36F8E"/>
    <w:rsid w:val="22C62C1E"/>
    <w:rsid w:val="22CA7849"/>
    <w:rsid w:val="22D911C5"/>
    <w:rsid w:val="22E77A55"/>
    <w:rsid w:val="22E9703E"/>
    <w:rsid w:val="22F66CD9"/>
    <w:rsid w:val="22F93624"/>
    <w:rsid w:val="231753EB"/>
    <w:rsid w:val="23241C21"/>
    <w:rsid w:val="232A01DB"/>
    <w:rsid w:val="233F7420"/>
    <w:rsid w:val="235F34BF"/>
    <w:rsid w:val="23787408"/>
    <w:rsid w:val="238033BC"/>
    <w:rsid w:val="23926885"/>
    <w:rsid w:val="23930F8A"/>
    <w:rsid w:val="2393373D"/>
    <w:rsid w:val="23A16E72"/>
    <w:rsid w:val="23AB06F3"/>
    <w:rsid w:val="23D63FF3"/>
    <w:rsid w:val="23DA6AE5"/>
    <w:rsid w:val="23DD3AD5"/>
    <w:rsid w:val="23E51D45"/>
    <w:rsid w:val="23F03365"/>
    <w:rsid w:val="241243F0"/>
    <w:rsid w:val="241870B4"/>
    <w:rsid w:val="24317F37"/>
    <w:rsid w:val="244E05BB"/>
    <w:rsid w:val="245411E7"/>
    <w:rsid w:val="245562DC"/>
    <w:rsid w:val="246178B1"/>
    <w:rsid w:val="248668D4"/>
    <w:rsid w:val="24896F28"/>
    <w:rsid w:val="248F3E4A"/>
    <w:rsid w:val="249079D4"/>
    <w:rsid w:val="24A3256E"/>
    <w:rsid w:val="24BA4FF7"/>
    <w:rsid w:val="24D86764"/>
    <w:rsid w:val="24E9367C"/>
    <w:rsid w:val="24F124D1"/>
    <w:rsid w:val="24FA598E"/>
    <w:rsid w:val="2510610D"/>
    <w:rsid w:val="25292DCA"/>
    <w:rsid w:val="25302162"/>
    <w:rsid w:val="253E4680"/>
    <w:rsid w:val="25400295"/>
    <w:rsid w:val="254E5479"/>
    <w:rsid w:val="257E230E"/>
    <w:rsid w:val="258E2C60"/>
    <w:rsid w:val="25977C6F"/>
    <w:rsid w:val="25A00842"/>
    <w:rsid w:val="25B6018D"/>
    <w:rsid w:val="25B82157"/>
    <w:rsid w:val="25B9230D"/>
    <w:rsid w:val="25BC1060"/>
    <w:rsid w:val="25BC6ED0"/>
    <w:rsid w:val="25DE0EA9"/>
    <w:rsid w:val="25FE1013"/>
    <w:rsid w:val="260C6A77"/>
    <w:rsid w:val="260F65B3"/>
    <w:rsid w:val="2624097D"/>
    <w:rsid w:val="26446C8E"/>
    <w:rsid w:val="264919C2"/>
    <w:rsid w:val="2662721E"/>
    <w:rsid w:val="26631793"/>
    <w:rsid w:val="26636B4C"/>
    <w:rsid w:val="2687307F"/>
    <w:rsid w:val="26916261"/>
    <w:rsid w:val="26935D08"/>
    <w:rsid w:val="26982189"/>
    <w:rsid w:val="269F64C8"/>
    <w:rsid w:val="26B5321B"/>
    <w:rsid w:val="26BA36B6"/>
    <w:rsid w:val="26C012BC"/>
    <w:rsid w:val="26C143CC"/>
    <w:rsid w:val="26CB1565"/>
    <w:rsid w:val="26D0312E"/>
    <w:rsid w:val="26D21C8A"/>
    <w:rsid w:val="26D66CAB"/>
    <w:rsid w:val="26DD38D2"/>
    <w:rsid w:val="26DD53C1"/>
    <w:rsid w:val="26E21545"/>
    <w:rsid w:val="26F314BB"/>
    <w:rsid w:val="27020053"/>
    <w:rsid w:val="27074267"/>
    <w:rsid w:val="271A4F5F"/>
    <w:rsid w:val="27356E9C"/>
    <w:rsid w:val="275E3968"/>
    <w:rsid w:val="277D6B0D"/>
    <w:rsid w:val="277F2035"/>
    <w:rsid w:val="27A15C5A"/>
    <w:rsid w:val="27A3048F"/>
    <w:rsid w:val="27A71F79"/>
    <w:rsid w:val="27A9718A"/>
    <w:rsid w:val="27BB15DA"/>
    <w:rsid w:val="27CB4B98"/>
    <w:rsid w:val="27D1065E"/>
    <w:rsid w:val="27D47AFC"/>
    <w:rsid w:val="27DD0E7D"/>
    <w:rsid w:val="27DF2071"/>
    <w:rsid w:val="27E44C2E"/>
    <w:rsid w:val="27E65C32"/>
    <w:rsid w:val="27EB05C2"/>
    <w:rsid w:val="28107B4C"/>
    <w:rsid w:val="28135D30"/>
    <w:rsid w:val="2814683C"/>
    <w:rsid w:val="28294209"/>
    <w:rsid w:val="2833710D"/>
    <w:rsid w:val="28403C4D"/>
    <w:rsid w:val="28430989"/>
    <w:rsid w:val="2888726E"/>
    <w:rsid w:val="289C7722"/>
    <w:rsid w:val="28AD376B"/>
    <w:rsid w:val="28AF0E02"/>
    <w:rsid w:val="28B51AC5"/>
    <w:rsid w:val="28B90EAB"/>
    <w:rsid w:val="28C90E8B"/>
    <w:rsid w:val="28CD09A0"/>
    <w:rsid w:val="29104CB1"/>
    <w:rsid w:val="291A689B"/>
    <w:rsid w:val="29324CE1"/>
    <w:rsid w:val="29366B6F"/>
    <w:rsid w:val="29405AC6"/>
    <w:rsid w:val="294C0A96"/>
    <w:rsid w:val="29546EC8"/>
    <w:rsid w:val="29724367"/>
    <w:rsid w:val="297405E4"/>
    <w:rsid w:val="29851D80"/>
    <w:rsid w:val="29891DA7"/>
    <w:rsid w:val="299A284E"/>
    <w:rsid w:val="29B12947"/>
    <w:rsid w:val="29B41EAC"/>
    <w:rsid w:val="29B54574"/>
    <w:rsid w:val="29BD4E25"/>
    <w:rsid w:val="29BE4A5E"/>
    <w:rsid w:val="29CF4845"/>
    <w:rsid w:val="29D967E6"/>
    <w:rsid w:val="2A0259D5"/>
    <w:rsid w:val="2A0848EE"/>
    <w:rsid w:val="2A164181"/>
    <w:rsid w:val="2A1E7C9C"/>
    <w:rsid w:val="2A3D47EE"/>
    <w:rsid w:val="2A4B5348"/>
    <w:rsid w:val="2A5567D1"/>
    <w:rsid w:val="2A676756"/>
    <w:rsid w:val="2A720B27"/>
    <w:rsid w:val="2A750617"/>
    <w:rsid w:val="2A844BF3"/>
    <w:rsid w:val="2A882831"/>
    <w:rsid w:val="2A88675A"/>
    <w:rsid w:val="2AA131BA"/>
    <w:rsid w:val="2AAC770B"/>
    <w:rsid w:val="2AB5269D"/>
    <w:rsid w:val="2ABC7334"/>
    <w:rsid w:val="2ABE3F5E"/>
    <w:rsid w:val="2ABF496E"/>
    <w:rsid w:val="2AC43995"/>
    <w:rsid w:val="2AC75113"/>
    <w:rsid w:val="2AC92342"/>
    <w:rsid w:val="2ACF1B94"/>
    <w:rsid w:val="2AEC34B6"/>
    <w:rsid w:val="2AEE28AB"/>
    <w:rsid w:val="2AF31787"/>
    <w:rsid w:val="2AF4778E"/>
    <w:rsid w:val="2B07215F"/>
    <w:rsid w:val="2B0D7176"/>
    <w:rsid w:val="2B373B1E"/>
    <w:rsid w:val="2B561E69"/>
    <w:rsid w:val="2B613650"/>
    <w:rsid w:val="2B63237E"/>
    <w:rsid w:val="2B69017C"/>
    <w:rsid w:val="2B6F6423"/>
    <w:rsid w:val="2B715D85"/>
    <w:rsid w:val="2B78198A"/>
    <w:rsid w:val="2BA02E5A"/>
    <w:rsid w:val="2BA67A9D"/>
    <w:rsid w:val="2BA67C10"/>
    <w:rsid w:val="2BAD312E"/>
    <w:rsid w:val="2BCE7B74"/>
    <w:rsid w:val="2BEA6A79"/>
    <w:rsid w:val="2BF73E95"/>
    <w:rsid w:val="2C0120AF"/>
    <w:rsid w:val="2C02455B"/>
    <w:rsid w:val="2C097516"/>
    <w:rsid w:val="2C116933"/>
    <w:rsid w:val="2C2E58AC"/>
    <w:rsid w:val="2C5B7B14"/>
    <w:rsid w:val="2C680FED"/>
    <w:rsid w:val="2C6D003B"/>
    <w:rsid w:val="2C9302B4"/>
    <w:rsid w:val="2CA67B87"/>
    <w:rsid w:val="2CB23105"/>
    <w:rsid w:val="2CBF0ACE"/>
    <w:rsid w:val="2CDD7DE4"/>
    <w:rsid w:val="2CE20CEC"/>
    <w:rsid w:val="2CE6589A"/>
    <w:rsid w:val="2CF37C9A"/>
    <w:rsid w:val="2D1D3656"/>
    <w:rsid w:val="2D705841"/>
    <w:rsid w:val="2D7203FA"/>
    <w:rsid w:val="2D772CCC"/>
    <w:rsid w:val="2D874EDD"/>
    <w:rsid w:val="2D983674"/>
    <w:rsid w:val="2DC26CE1"/>
    <w:rsid w:val="2DE35A2B"/>
    <w:rsid w:val="2DE43620"/>
    <w:rsid w:val="2DE454E3"/>
    <w:rsid w:val="2DEC0BF0"/>
    <w:rsid w:val="2E002B8F"/>
    <w:rsid w:val="2E1805A9"/>
    <w:rsid w:val="2E197069"/>
    <w:rsid w:val="2E1A5BF7"/>
    <w:rsid w:val="2E1C0F9C"/>
    <w:rsid w:val="2E463A1E"/>
    <w:rsid w:val="2E5761EC"/>
    <w:rsid w:val="2E6609A2"/>
    <w:rsid w:val="2E786928"/>
    <w:rsid w:val="2E821A9D"/>
    <w:rsid w:val="2E860791"/>
    <w:rsid w:val="2E9B38AE"/>
    <w:rsid w:val="2EA43D43"/>
    <w:rsid w:val="2EB15F26"/>
    <w:rsid w:val="2EC456C9"/>
    <w:rsid w:val="2ED22917"/>
    <w:rsid w:val="2EDD4CC4"/>
    <w:rsid w:val="2EE928C2"/>
    <w:rsid w:val="2EE95B22"/>
    <w:rsid w:val="2EFB6836"/>
    <w:rsid w:val="2F0403D6"/>
    <w:rsid w:val="2F0B4905"/>
    <w:rsid w:val="2F0B5733"/>
    <w:rsid w:val="2F0C7B4A"/>
    <w:rsid w:val="2F106B60"/>
    <w:rsid w:val="2F17454E"/>
    <w:rsid w:val="2F185BE6"/>
    <w:rsid w:val="2F1E74CF"/>
    <w:rsid w:val="2F25154B"/>
    <w:rsid w:val="2F283EAA"/>
    <w:rsid w:val="2F407445"/>
    <w:rsid w:val="2F535B1A"/>
    <w:rsid w:val="2F610443"/>
    <w:rsid w:val="2F6E2EC0"/>
    <w:rsid w:val="2F73308C"/>
    <w:rsid w:val="2F7847BC"/>
    <w:rsid w:val="2F7D4AA4"/>
    <w:rsid w:val="2F8D2156"/>
    <w:rsid w:val="2FA70E13"/>
    <w:rsid w:val="2FAA4280"/>
    <w:rsid w:val="2FB56933"/>
    <w:rsid w:val="2FD95536"/>
    <w:rsid w:val="2FE34E04"/>
    <w:rsid w:val="2FE93118"/>
    <w:rsid w:val="2FF72A7E"/>
    <w:rsid w:val="2FFA53AB"/>
    <w:rsid w:val="30097396"/>
    <w:rsid w:val="3015269A"/>
    <w:rsid w:val="303332CD"/>
    <w:rsid w:val="304E5B92"/>
    <w:rsid w:val="306B6744"/>
    <w:rsid w:val="306D180B"/>
    <w:rsid w:val="307257D6"/>
    <w:rsid w:val="30965955"/>
    <w:rsid w:val="3096694C"/>
    <w:rsid w:val="30B8125D"/>
    <w:rsid w:val="30C13EE0"/>
    <w:rsid w:val="30C61231"/>
    <w:rsid w:val="30DC13F0"/>
    <w:rsid w:val="30E83C20"/>
    <w:rsid w:val="30ED265D"/>
    <w:rsid w:val="30F30D62"/>
    <w:rsid w:val="30FA3EE4"/>
    <w:rsid w:val="31075C91"/>
    <w:rsid w:val="31081BAD"/>
    <w:rsid w:val="310C44A0"/>
    <w:rsid w:val="311F2B74"/>
    <w:rsid w:val="31205C64"/>
    <w:rsid w:val="312566B9"/>
    <w:rsid w:val="312F13C1"/>
    <w:rsid w:val="313F54DB"/>
    <w:rsid w:val="3148438F"/>
    <w:rsid w:val="314927B6"/>
    <w:rsid w:val="314C6AD4"/>
    <w:rsid w:val="317E2572"/>
    <w:rsid w:val="31992619"/>
    <w:rsid w:val="319B4DA4"/>
    <w:rsid w:val="31C111EA"/>
    <w:rsid w:val="31C11945"/>
    <w:rsid w:val="31D10829"/>
    <w:rsid w:val="31EE3B71"/>
    <w:rsid w:val="31F1357D"/>
    <w:rsid w:val="31F51D37"/>
    <w:rsid w:val="31F648CB"/>
    <w:rsid w:val="320D5477"/>
    <w:rsid w:val="321E1ABC"/>
    <w:rsid w:val="32204AB2"/>
    <w:rsid w:val="323C2C9A"/>
    <w:rsid w:val="324C4E43"/>
    <w:rsid w:val="32553979"/>
    <w:rsid w:val="32634D0C"/>
    <w:rsid w:val="326B69E1"/>
    <w:rsid w:val="32786EF6"/>
    <w:rsid w:val="327A56E6"/>
    <w:rsid w:val="32852D86"/>
    <w:rsid w:val="3292430E"/>
    <w:rsid w:val="32A23F73"/>
    <w:rsid w:val="32A305A5"/>
    <w:rsid w:val="32CA5A05"/>
    <w:rsid w:val="32D248E7"/>
    <w:rsid w:val="32E14A9C"/>
    <w:rsid w:val="32F40684"/>
    <w:rsid w:val="330074F8"/>
    <w:rsid w:val="332D348F"/>
    <w:rsid w:val="334657EF"/>
    <w:rsid w:val="334C066E"/>
    <w:rsid w:val="33523A42"/>
    <w:rsid w:val="3356418E"/>
    <w:rsid w:val="33762F9D"/>
    <w:rsid w:val="338418CB"/>
    <w:rsid w:val="33855CE3"/>
    <w:rsid w:val="338A6C1B"/>
    <w:rsid w:val="338C6DE1"/>
    <w:rsid w:val="33A05736"/>
    <w:rsid w:val="33A835B7"/>
    <w:rsid w:val="33CB54BD"/>
    <w:rsid w:val="33D23051"/>
    <w:rsid w:val="33ED5662"/>
    <w:rsid w:val="33EF626B"/>
    <w:rsid w:val="340F7C58"/>
    <w:rsid w:val="341E12AB"/>
    <w:rsid w:val="34433678"/>
    <w:rsid w:val="34442B09"/>
    <w:rsid w:val="344B7B58"/>
    <w:rsid w:val="346577CD"/>
    <w:rsid w:val="3483309A"/>
    <w:rsid w:val="348D4612"/>
    <w:rsid w:val="34A764F4"/>
    <w:rsid w:val="34C204B3"/>
    <w:rsid w:val="34C44AB9"/>
    <w:rsid w:val="34D81C33"/>
    <w:rsid w:val="34F54E73"/>
    <w:rsid w:val="351572A2"/>
    <w:rsid w:val="351917EA"/>
    <w:rsid w:val="351D3D85"/>
    <w:rsid w:val="353C4EF3"/>
    <w:rsid w:val="35500B16"/>
    <w:rsid w:val="3557183E"/>
    <w:rsid w:val="35732525"/>
    <w:rsid w:val="357A4836"/>
    <w:rsid w:val="358822F8"/>
    <w:rsid w:val="35B879B7"/>
    <w:rsid w:val="35C068B4"/>
    <w:rsid w:val="35DE6806"/>
    <w:rsid w:val="36251147"/>
    <w:rsid w:val="36334AB4"/>
    <w:rsid w:val="36446795"/>
    <w:rsid w:val="36AF3103"/>
    <w:rsid w:val="36B9188B"/>
    <w:rsid w:val="36CF74EF"/>
    <w:rsid w:val="36D72F4A"/>
    <w:rsid w:val="37027F67"/>
    <w:rsid w:val="370319D2"/>
    <w:rsid w:val="37091F1C"/>
    <w:rsid w:val="37531470"/>
    <w:rsid w:val="376848E9"/>
    <w:rsid w:val="37696E1C"/>
    <w:rsid w:val="379F2E22"/>
    <w:rsid w:val="37A100E0"/>
    <w:rsid w:val="37A440DE"/>
    <w:rsid w:val="37A473CE"/>
    <w:rsid w:val="37A6440E"/>
    <w:rsid w:val="37B42580"/>
    <w:rsid w:val="37CD2449"/>
    <w:rsid w:val="37D1201D"/>
    <w:rsid w:val="37DA6E19"/>
    <w:rsid w:val="37F43DF4"/>
    <w:rsid w:val="37F838B4"/>
    <w:rsid w:val="38356C0B"/>
    <w:rsid w:val="383E5030"/>
    <w:rsid w:val="384E5182"/>
    <w:rsid w:val="38540894"/>
    <w:rsid w:val="38842289"/>
    <w:rsid w:val="388A3F6C"/>
    <w:rsid w:val="389534A7"/>
    <w:rsid w:val="389C6DD6"/>
    <w:rsid w:val="38A54184"/>
    <w:rsid w:val="38B5233E"/>
    <w:rsid w:val="38B54C5C"/>
    <w:rsid w:val="38B92017"/>
    <w:rsid w:val="38BD3AE8"/>
    <w:rsid w:val="38C041C8"/>
    <w:rsid w:val="38C32489"/>
    <w:rsid w:val="38D611E9"/>
    <w:rsid w:val="38DC4235"/>
    <w:rsid w:val="38E3175F"/>
    <w:rsid w:val="38E9171C"/>
    <w:rsid w:val="38FC20FB"/>
    <w:rsid w:val="392B5B1F"/>
    <w:rsid w:val="393671C3"/>
    <w:rsid w:val="39393547"/>
    <w:rsid w:val="39395588"/>
    <w:rsid w:val="3939799A"/>
    <w:rsid w:val="393F5D95"/>
    <w:rsid w:val="3946010D"/>
    <w:rsid w:val="395D59D1"/>
    <w:rsid w:val="39673D68"/>
    <w:rsid w:val="39677447"/>
    <w:rsid w:val="39702536"/>
    <w:rsid w:val="398341B0"/>
    <w:rsid w:val="39841B90"/>
    <w:rsid w:val="39956A2B"/>
    <w:rsid w:val="39BF668E"/>
    <w:rsid w:val="39D4535A"/>
    <w:rsid w:val="39D92970"/>
    <w:rsid w:val="39DC1276"/>
    <w:rsid w:val="39E870D4"/>
    <w:rsid w:val="39EB421B"/>
    <w:rsid w:val="39EE3703"/>
    <w:rsid w:val="39F7221A"/>
    <w:rsid w:val="39F81784"/>
    <w:rsid w:val="3A015486"/>
    <w:rsid w:val="3A0D4245"/>
    <w:rsid w:val="3A290B0A"/>
    <w:rsid w:val="3A453AEC"/>
    <w:rsid w:val="3A475008"/>
    <w:rsid w:val="3A49252A"/>
    <w:rsid w:val="3A6B40FE"/>
    <w:rsid w:val="3A9E2B3F"/>
    <w:rsid w:val="3ABC0C2A"/>
    <w:rsid w:val="3AC15CEB"/>
    <w:rsid w:val="3AD204F1"/>
    <w:rsid w:val="3ADE5B44"/>
    <w:rsid w:val="3ADF4E82"/>
    <w:rsid w:val="3AEF2E86"/>
    <w:rsid w:val="3AF12B8B"/>
    <w:rsid w:val="3AF7223B"/>
    <w:rsid w:val="3AF82650"/>
    <w:rsid w:val="3AFF51C2"/>
    <w:rsid w:val="3B0D0A0F"/>
    <w:rsid w:val="3B132755"/>
    <w:rsid w:val="3B2E7D22"/>
    <w:rsid w:val="3B356E3A"/>
    <w:rsid w:val="3B4074BC"/>
    <w:rsid w:val="3B525DED"/>
    <w:rsid w:val="3B620FC3"/>
    <w:rsid w:val="3B66327D"/>
    <w:rsid w:val="3B6B58F1"/>
    <w:rsid w:val="3B822B94"/>
    <w:rsid w:val="3B8F7754"/>
    <w:rsid w:val="3B9A7E9A"/>
    <w:rsid w:val="3B9C4E79"/>
    <w:rsid w:val="3B9E44E5"/>
    <w:rsid w:val="3BA814B5"/>
    <w:rsid w:val="3BBC549B"/>
    <w:rsid w:val="3BD52D04"/>
    <w:rsid w:val="3BE829D7"/>
    <w:rsid w:val="3BEB0D56"/>
    <w:rsid w:val="3C0942E3"/>
    <w:rsid w:val="3C207409"/>
    <w:rsid w:val="3C686101"/>
    <w:rsid w:val="3C7C006A"/>
    <w:rsid w:val="3C9D53B1"/>
    <w:rsid w:val="3CA571E3"/>
    <w:rsid w:val="3CBB3018"/>
    <w:rsid w:val="3CC82439"/>
    <w:rsid w:val="3CCF1E09"/>
    <w:rsid w:val="3D10476F"/>
    <w:rsid w:val="3D610AE0"/>
    <w:rsid w:val="3D6910FF"/>
    <w:rsid w:val="3D731FE7"/>
    <w:rsid w:val="3DA94FF8"/>
    <w:rsid w:val="3DB47994"/>
    <w:rsid w:val="3DBE4DD3"/>
    <w:rsid w:val="3DCD6892"/>
    <w:rsid w:val="3DD376D7"/>
    <w:rsid w:val="3DFF2AF0"/>
    <w:rsid w:val="3E055EC9"/>
    <w:rsid w:val="3E063608"/>
    <w:rsid w:val="3E0E02DB"/>
    <w:rsid w:val="3E295A7A"/>
    <w:rsid w:val="3E4615FA"/>
    <w:rsid w:val="3E4C57ED"/>
    <w:rsid w:val="3E563AC1"/>
    <w:rsid w:val="3E571B49"/>
    <w:rsid w:val="3E8E2048"/>
    <w:rsid w:val="3EC214C4"/>
    <w:rsid w:val="3EE82A79"/>
    <w:rsid w:val="3EF7501E"/>
    <w:rsid w:val="3F193689"/>
    <w:rsid w:val="3F32648D"/>
    <w:rsid w:val="3F685049"/>
    <w:rsid w:val="3F705E6A"/>
    <w:rsid w:val="3F7A4E28"/>
    <w:rsid w:val="3FA81F0F"/>
    <w:rsid w:val="3FB614E6"/>
    <w:rsid w:val="3FC60A60"/>
    <w:rsid w:val="3FDF0FA7"/>
    <w:rsid w:val="3FF2282A"/>
    <w:rsid w:val="40027F51"/>
    <w:rsid w:val="400852D8"/>
    <w:rsid w:val="4019384B"/>
    <w:rsid w:val="40231D69"/>
    <w:rsid w:val="40276226"/>
    <w:rsid w:val="403F6F41"/>
    <w:rsid w:val="404176CF"/>
    <w:rsid w:val="404603D7"/>
    <w:rsid w:val="4058714C"/>
    <w:rsid w:val="4065216D"/>
    <w:rsid w:val="406612C8"/>
    <w:rsid w:val="406960D0"/>
    <w:rsid w:val="407A453F"/>
    <w:rsid w:val="407B3B09"/>
    <w:rsid w:val="4086259B"/>
    <w:rsid w:val="408F1FDB"/>
    <w:rsid w:val="409C32CE"/>
    <w:rsid w:val="40B13168"/>
    <w:rsid w:val="40C31C84"/>
    <w:rsid w:val="40CE1158"/>
    <w:rsid w:val="40DF1663"/>
    <w:rsid w:val="40F527E3"/>
    <w:rsid w:val="40FC1C7E"/>
    <w:rsid w:val="41012622"/>
    <w:rsid w:val="412E1653"/>
    <w:rsid w:val="413A2613"/>
    <w:rsid w:val="41412BA9"/>
    <w:rsid w:val="415F1273"/>
    <w:rsid w:val="41635BFC"/>
    <w:rsid w:val="41656898"/>
    <w:rsid w:val="41741A72"/>
    <w:rsid w:val="41773922"/>
    <w:rsid w:val="41797487"/>
    <w:rsid w:val="41846FC7"/>
    <w:rsid w:val="419C467D"/>
    <w:rsid w:val="419E04CD"/>
    <w:rsid w:val="41A27E38"/>
    <w:rsid w:val="41A97FB8"/>
    <w:rsid w:val="41AB0F18"/>
    <w:rsid w:val="41AB3E95"/>
    <w:rsid w:val="41B27676"/>
    <w:rsid w:val="41E536E5"/>
    <w:rsid w:val="420F17A1"/>
    <w:rsid w:val="422C159B"/>
    <w:rsid w:val="424264A7"/>
    <w:rsid w:val="42470F07"/>
    <w:rsid w:val="425016EB"/>
    <w:rsid w:val="42711B56"/>
    <w:rsid w:val="427C14D8"/>
    <w:rsid w:val="42957ABC"/>
    <w:rsid w:val="42A533F6"/>
    <w:rsid w:val="42B06CEF"/>
    <w:rsid w:val="42DC702D"/>
    <w:rsid w:val="42FB3B1F"/>
    <w:rsid w:val="430403AA"/>
    <w:rsid w:val="430A305D"/>
    <w:rsid w:val="43177DC0"/>
    <w:rsid w:val="4340387D"/>
    <w:rsid w:val="4348452F"/>
    <w:rsid w:val="4358340C"/>
    <w:rsid w:val="437060AF"/>
    <w:rsid w:val="438C20BD"/>
    <w:rsid w:val="439D43A5"/>
    <w:rsid w:val="43B82462"/>
    <w:rsid w:val="43BC29BB"/>
    <w:rsid w:val="43BF1273"/>
    <w:rsid w:val="43C44C41"/>
    <w:rsid w:val="43C65260"/>
    <w:rsid w:val="43DF5F4B"/>
    <w:rsid w:val="43E061B7"/>
    <w:rsid w:val="43E74CEE"/>
    <w:rsid w:val="43EA5595"/>
    <w:rsid w:val="43F505F3"/>
    <w:rsid w:val="43FE582B"/>
    <w:rsid w:val="440927FB"/>
    <w:rsid w:val="4424200D"/>
    <w:rsid w:val="44333F20"/>
    <w:rsid w:val="445C5E07"/>
    <w:rsid w:val="44667A73"/>
    <w:rsid w:val="44776EF3"/>
    <w:rsid w:val="44865EB8"/>
    <w:rsid w:val="44877FF5"/>
    <w:rsid w:val="44980FF1"/>
    <w:rsid w:val="449F498C"/>
    <w:rsid w:val="44A30321"/>
    <w:rsid w:val="44AB1C00"/>
    <w:rsid w:val="44AE73B1"/>
    <w:rsid w:val="44BD7696"/>
    <w:rsid w:val="44C04DE4"/>
    <w:rsid w:val="44C11824"/>
    <w:rsid w:val="44C45F74"/>
    <w:rsid w:val="44C61C88"/>
    <w:rsid w:val="44DA2639"/>
    <w:rsid w:val="45085944"/>
    <w:rsid w:val="450E3EF9"/>
    <w:rsid w:val="453C2005"/>
    <w:rsid w:val="45506477"/>
    <w:rsid w:val="45655FEA"/>
    <w:rsid w:val="45660CBD"/>
    <w:rsid w:val="45696D57"/>
    <w:rsid w:val="45760CE7"/>
    <w:rsid w:val="458E3B2C"/>
    <w:rsid w:val="459160C0"/>
    <w:rsid w:val="45B63BA2"/>
    <w:rsid w:val="45CC67D9"/>
    <w:rsid w:val="45D7526A"/>
    <w:rsid w:val="45E776C4"/>
    <w:rsid w:val="45EA37DE"/>
    <w:rsid w:val="45F40F43"/>
    <w:rsid w:val="45FB3388"/>
    <w:rsid w:val="460633D8"/>
    <w:rsid w:val="460C17D1"/>
    <w:rsid w:val="46235D5C"/>
    <w:rsid w:val="462C765D"/>
    <w:rsid w:val="463A06F9"/>
    <w:rsid w:val="465B7E84"/>
    <w:rsid w:val="46771B2A"/>
    <w:rsid w:val="46880B2B"/>
    <w:rsid w:val="46902785"/>
    <w:rsid w:val="46A86B26"/>
    <w:rsid w:val="46B61944"/>
    <w:rsid w:val="46CE4EDF"/>
    <w:rsid w:val="46EB2B21"/>
    <w:rsid w:val="470004EF"/>
    <w:rsid w:val="470970DB"/>
    <w:rsid w:val="47150D60"/>
    <w:rsid w:val="47404994"/>
    <w:rsid w:val="47473BF4"/>
    <w:rsid w:val="478273B4"/>
    <w:rsid w:val="47956FB7"/>
    <w:rsid w:val="47A41F17"/>
    <w:rsid w:val="47A91D66"/>
    <w:rsid w:val="47BC123E"/>
    <w:rsid w:val="47BF4240"/>
    <w:rsid w:val="47CD5D7F"/>
    <w:rsid w:val="47D57B87"/>
    <w:rsid w:val="47E17015"/>
    <w:rsid w:val="48014C0F"/>
    <w:rsid w:val="4820176A"/>
    <w:rsid w:val="483439F5"/>
    <w:rsid w:val="483E2716"/>
    <w:rsid w:val="48435459"/>
    <w:rsid w:val="4850549A"/>
    <w:rsid w:val="48751F9C"/>
    <w:rsid w:val="4880009A"/>
    <w:rsid w:val="488074D2"/>
    <w:rsid w:val="48855A71"/>
    <w:rsid w:val="48910795"/>
    <w:rsid w:val="48AB019F"/>
    <w:rsid w:val="48AF3164"/>
    <w:rsid w:val="48BF2D31"/>
    <w:rsid w:val="48DC0082"/>
    <w:rsid w:val="48E338CE"/>
    <w:rsid w:val="48E5217E"/>
    <w:rsid w:val="48EF3267"/>
    <w:rsid w:val="48EF450F"/>
    <w:rsid w:val="48F359FF"/>
    <w:rsid w:val="49104677"/>
    <w:rsid w:val="4916491B"/>
    <w:rsid w:val="491914E8"/>
    <w:rsid w:val="4921759B"/>
    <w:rsid w:val="492E4707"/>
    <w:rsid w:val="49341F33"/>
    <w:rsid w:val="49571C39"/>
    <w:rsid w:val="49935F3C"/>
    <w:rsid w:val="499E328F"/>
    <w:rsid w:val="49B77726"/>
    <w:rsid w:val="49D80B80"/>
    <w:rsid w:val="49DE79DC"/>
    <w:rsid w:val="49DF26FD"/>
    <w:rsid w:val="49E91E4E"/>
    <w:rsid w:val="4A582961"/>
    <w:rsid w:val="4A605569"/>
    <w:rsid w:val="4A6B7F20"/>
    <w:rsid w:val="4A80320D"/>
    <w:rsid w:val="4A8C30E7"/>
    <w:rsid w:val="4A9E5A1D"/>
    <w:rsid w:val="4AA70CB4"/>
    <w:rsid w:val="4AB65DA3"/>
    <w:rsid w:val="4ADD02FC"/>
    <w:rsid w:val="4AF16237"/>
    <w:rsid w:val="4B0A45D6"/>
    <w:rsid w:val="4B232D3E"/>
    <w:rsid w:val="4B247D33"/>
    <w:rsid w:val="4B2B3242"/>
    <w:rsid w:val="4B434576"/>
    <w:rsid w:val="4B483EA1"/>
    <w:rsid w:val="4B516170"/>
    <w:rsid w:val="4B603EF9"/>
    <w:rsid w:val="4B6B0956"/>
    <w:rsid w:val="4B732E6F"/>
    <w:rsid w:val="4B796882"/>
    <w:rsid w:val="4B847B1A"/>
    <w:rsid w:val="4B96740A"/>
    <w:rsid w:val="4B9A28D7"/>
    <w:rsid w:val="4BA221F7"/>
    <w:rsid w:val="4BAE27DB"/>
    <w:rsid w:val="4BCA7C79"/>
    <w:rsid w:val="4BCE00D6"/>
    <w:rsid w:val="4BD4709B"/>
    <w:rsid w:val="4BD9235C"/>
    <w:rsid w:val="4C257CE5"/>
    <w:rsid w:val="4C2A067F"/>
    <w:rsid w:val="4C6C1622"/>
    <w:rsid w:val="4C7520DF"/>
    <w:rsid w:val="4C775171"/>
    <w:rsid w:val="4C9760F2"/>
    <w:rsid w:val="4CA45150"/>
    <w:rsid w:val="4CA87143"/>
    <w:rsid w:val="4CB01E34"/>
    <w:rsid w:val="4CC268A3"/>
    <w:rsid w:val="4CCD7FCE"/>
    <w:rsid w:val="4CE45D70"/>
    <w:rsid w:val="4CF328B3"/>
    <w:rsid w:val="4D181E2D"/>
    <w:rsid w:val="4D20103B"/>
    <w:rsid w:val="4D27359B"/>
    <w:rsid w:val="4D2C1E13"/>
    <w:rsid w:val="4D445721"/>
    <w:rsid w:val="4D4F27D7"/>
    <w:rsid w:val="4D73344B"/>
    <w:rsid w:val="4D907F8D"/>
    <w:rsid w:val="4D990DB5"/>
    <w:rsid w:val="4DA1744F"/>
    <w:rsid w:val="4DB22512"/>
    <w:rsid w:val="4DB77506"/>
    <w:rsid w:val="4DC82688"/>
    <w:rsid w:val="4DD1616A"/>
    <w:rsid w:val="4DD27A9D"/>
    <w:rsid w:val="4DE87D1C"/>
    <w:rsid w:val="4DFC36D4"/>
    <w:rsid w:val="4E025B37"/>
    <w:rsid w:val="4E04172E"/>
    <w:rsid w:val="4E4107C9"/>
    <w:rsid w:val="4E466E0C"/>
    <w:rsid w:val="4E4769A2"/>
    <w:rsid w:val="4E4E6628"/>
    <w:rsid w:val="4E564138"/>
    <w:rsid w:val="4E8A2208"/>
    <w:rsid w:val="4E964534"/>
    <w:rsid w:val="4EAD0737"/>
    <w:rsid w:val="4EB64895"/>
    <w:rsid w:val="4ECF11B4"/>
    <w:rsid w:val="4EEA0E81"/>
    <w:rsid w:val="4F0E7C91"/>
    <w:rsid w:val="4F1236FE"/>
    <w:rsid w:val="4F2136AB"/>
    <w:rsid w:val="4F2732DA"/>
    <w:rsid w:val="4F2E29BF"/>
    <w:rsid w:val="4F302BDB"/>
    <w:rsid w:val="4F3B6610"/>
    <w:rsid w:val="4F493C9D"/>
    <w:rsid w:val="4F581781"/>
    <w:rsid w:val="4F73753D"/>
    <w:rsid w:val="4FC444D4"/>
    <w:rsid w:val="4FD3748D"/>
    <w:rsid w:val="4FE66397"/>
    <w:rsid w:val="4FEA5FA1"/>
    <w:rsid w:val="4FEE5DDD"/>
    <w:rsid w:val="4FF70CEF"/>
    <w:rsid w:val="4FF879F7"/>
    <w:rsid w:val="500A0BF8"/>
    <w:rsid w:val="5031742F"/>
    <w:rsid w:val="50320005"/>
    <w:rsid w:val="50383091"/>
    <w:rsid w:val="5044383E"/>
    <w:rsid w:val="505A0442"/>
    <w:rsid w:val="505C6EC4"/>
    <w:rsid w:val="505E4A71"/>
    <w:rsid w:val="50617584"/>
    <w:rsid w:val="50635F97"/>
    <w:rsid w:val="50644BC0"/>
    <w:rsid w:val="50697A27"/>
    <w:rsid w:val="50954678"/>
    <w:rsid w:val="50AC462B"/>
    <w:rsid w:val="50AD5F05"/>
    <w:rsid w:val="50CA3508"/>
    <w:rsid w:val="50E229CB"/>
    <w:rsid w:val="50FD7FF5"/>
    <w:rsid w:val="51043F4F"/>
    <w:rsid w:val="5113145E"/>
    <w:rsid w:val="512978E2"/>
    <w:rsid w:val="512B6F08"/>
    <w:rsid w:val="512C27A6"/>
    <w:rsid w:val="514502C8"/>
    <w:rsid w:val="51456B83"/>
    <w:rsid w:val="5159026B"/>
    <w:rsid w:val="51605137"/>
    <w:rsid w:val="517B33C3"/>
    <w:rsid w:val="518D34A9"/>
    <w:rsid w:val="51906E0B"/>
    <w:rsid w:val="51A65E3B"/>
    <w:rsid w:val="51B76FC0"/>
    <w:rsid w:val="52150E7E"/>
    <w:rsid w:val="52476F83"/>
    <w:rsid w:val="52477EA4"/>
    <w:rsid w:val="5249247B"/>
    <w:rsid w:val="525070F0"/>
    <w:rsid w:val="52851733"/>
    <w:rsid w:val="52984315"/>
    <w:rsid w:val="52C62690"/>
    <w:rsid w:val="52D942AB"/>
    <w:rsid w:val="52DF1317"/>
    <w:rsid w:val="52E8562E"/>
    <w:rsid w:val="52F43D16"/>
    <w:rsid w:val="52F55CB5"/>
    <w:rsid w:val="53066853"/>
    <w:rsid w:val="53080D44"/>
    <w:rsid w:val="531B0367"/>
    <w:rsid w:val="532F4F9E"/>
    <w:rsid w:val="53371D4D"/>
    <w:rsid w:val="533F2119"/>
    <w:rsid w:val="53580585"/>
    <w:rsid w:val="536C3BE4"/>
    <w:rsid w:val="537F00C3"/>
    <w:rsid w:val="53830D61"/>
    <w:rsid w:val="53A36E35"/>
    <w:rsid w:val="53A70F92"/>
    <w:rsid w:val="53AD7B18"/>
    <w:rsid w:val="53CA44F3"/>
    <w:rsid w:val="53D30783"/>
    <w:rsid w:val="53D401DF"/>
    <w:rsid w:val="53D42046"/>
    <w:rsid w:val="53F1032D"/>
    <w:rsid w:val="53F377CB"/>
    <w:rsid w:val="541E1FD5"/>
    <w:rsid w:val="54200E8D"/>
    <w:rsid w:val="54394D65"/>
    <w:rsid w:val="544A178C"/>
    <w:rsid w:val="546569BE"/>
    <w:rsid w:val="546C36A7"/>
    <w:rsid w:val="54710059"/>
    <w:rsid w:val="54B62802"/>
    <w:rsid w:val="54BB4C5D"/>
    <w:rsid w:val="54C623B4"/>
    <w:rsid w:val="55101C59"/>
    <w:rsid w:val="55144AC1"/>
    <w:rsid w:val="551D7302"/>
    <w:rsid w:val="553E0DC9"/>
    <w:rsid w:val="55445770"/>
    <w:rsid w:val="55666960"/>
    <w:rsid w:val="5572737D"/>
    <w:rsid w:val="557464A0"/>
    <w:rsid w:val="55804EED"/>
    <w:rsid w:val="55D70145"/>
    <w:rsid w:val="55D84FFF"/>
    <w:rsid w:val="55E42029"/>
    <w:rsid w:val="55F260E5"/>
    <w:rsid w:val="560B1290"/>
    <w:rsid w:val="56143BB3"/>
    <w:rsid w:val="56152E93"/>
    <w:rsid w:val="561B5CFD"/>
    <w:rsid w:val="563629E4"/>
    <w:rsid w:val="56585852"/>
    <w:rsid w:val="565C215F"/>
    <w:rsid w:val="5667780A"/>
    <w:rsid w:val="567063AF"/>
    <w:rsid w:val="567F6353"/>
    <w:rsid w:val="56804056"/>
    <w:rsid w:val="5697315C"/>
    <w:rsid w:val="56AF396E"/>
    <w:rsid w:val="56B40FB4"/>
    <w:rsid w:val="56C363FF"/>
    <w:rsid w:val="56E2072E"/>
    <w:rsid w:val="56F47EE0"/>
    <w:rsid w:val="57011CAB"/>
    <w:rsid w:val="5713049E"/>
    <w:rsid w:val="5713289F"/>
    <w:rsid w:val="57144722"/>
    <w:rsid w:val="571810AD"/>
    <w:rsid w:val="572F3B6C"/>
    <w:rsid w:val="5749356B"/>
    <w:rsid w:val="574F37A1"/>
    <w:rsid w:val="57520607"/>
    <w:rsid w:val="5763059E"/>
    <w:rsid w:val="5778753B"/>
    <w:rsid w:val="57AE0B41"/>
    <w:rsid w:val="57AE3EDF"/>
    <w:rsid w:val="57BB46B5"/>
    <w:rsid w:val="57DD1C75"/>
    <w:rsid w:val="57E10CEA"/>
    <w:rsid w:val="57F556B0"/>
    <w:rsid w:val="581024FE"/>
    <w:rsid w:val="58600972"/>
    <w:rsid w:val="58680CEE"/>
    <w:rsid w:val="587B7D66"/>
    <w:rsid w:val="58A321B7"/>
    <w:rsid w:val="58AF676F"/>
    <w:rsid w:val="58C769AB"/>
    <w:rsid w:val="58ED0B54"/>
    <w:rsid w:val="58F53E2D"/>
    <w:rsid w:val="591C4CFD"/>
    <w:rsid w:val="5948042B"/>
    <w:rsid w:val="594B7142"/>
    <w:rsid w:val="59522191"/>
    <w:rsid w:val="59542906"/>
    <w:rsid w:val="595C18D1"/>
    <w:rsid w:val="596001C1"/>
    <w:rsid w:val="59912ECE"/>
    <w:rsid w:val="59A26440"/>
    <w:rsid w:val="59C15A43"/>
    <w:rsid w:val="59D17028"/>
    <w:rsid w:val="5A0F3BAF"/>
    <w:rsid w:val="5A130FF6"/>
    <w:rsid w:val="5A25283C"/>
    <w:rsid w:val="5A3E2A97"/>
    <w:rsid w:val="5A5C0DF8"/>
    <w:rsid w:val="5A613D34"/>
    <w:rsid w:val="5A956E46"/>
    <w:rsid w:val="5AA9046D"/>
    <w:rsid w:val="5AAA7EB2"/>
    <w:rsid w:val="5ACC1D6C"/>
    <w:rsid w:val="5ACF5F0B"/>
    <w:rsid w:val="5AF66EF7"/>
    <w:rsid w:val="5AF839B9"/>
    <w:rsid w:val="5B0222B5"/>
    <w:rsid w:val="5B425FF4"/>
    <w:rsid w:val="5B477A61"/>
    <w:rsid w:val="5B4B2B4A"/>
    <w:rsid w:val="5B4C7B90"/>
    <w:rsid w:val="5B7805BD"/>
    <w:rsid w:val="5B95166C"/>
    <w:rsid w:val="5BBA5C48"/>
    <w:rsid w:val="5C084598"/>
    <w:rsid w:val="5C0E08F0"/>
    <w:rsid w:val="5C1E200D"/>
    <w:rsid w:val="5C665177"/>
    <w:rsid w:val="5C671404"/>
    <w:rsid w:val="5CA940FC"/>
    <w:rsid w:val="5CBE72A4"/>
    <w:rsid w:val="5CC901CB"/>
    <w:rsid w:val="5CF57B08"/>
    <w:rsid w:val="5CFF0F6D"/>
    <w:rsid w:val="5D055995"/>
    <w:rsid w:val="5D2D023A"/>
    <w:rsid w:val="5D6F1515"/>
    <w:rsid w:val="5D821189"/>
    <w:rsid w:val="5D862165"/>
    <w:rsid w:val="5D96766E"/>
    <w:rsid w:val="5D9F5CA8"/>
    <w:rsid w:val="5DA71903"/>
    <w:rsid w:val="5DAB506B"/>
    <w:rsid w:val="5DB04B74"/>
    <w:rsid w:val="5DBC7C55"/>
    <w:rsid w:val="5DCC21E0"/>
    <w:rsid w:val="5DD255E6"/>
    <w:rsid w:val="5DD627DD"/>
    <w:rsid w:val="5DE6548E"/>
    <w:rsid w:val="5DE77A3D"/>
    <w:rsid w:val="5DEC6E57"/>
    <w:rsid w:val="5DF254FF"/>
    <w:rsid w:val="5DF97CC4"/>
    <w:rsid w:val="5E057B68"/>
    <w:rsid w:val="5E0A7399"/>
    <w:rsid w:val="5E0F4D2D"/>
    <w:rsid w:val="5E1822E9"/>
    <w:rsid w:val="5E3106F6"/>
    <w:rsid w:val="5E355DCA"/>
    <w:rsid w:val="5E37477F"/>
    <w:rsid w:val="5E481638"/>
    <w:rsid w:val="5E5F3D7F"/>
    <w:rsid w:val="5E754D78"/>
    <w:rsid w:val="5EAA5C57"/>
    <w:rsid w:val="5EB27972"/>
    <w:rsid w:val="5ECD523E"/>
    <w:rsid w:val="5ED75648"/>
    <w:rsid w:val="5EE015EC"/>
    <w:rsid w:val="5EE210AC"/>
    <w:rsid w:val="5F076455"/>
    <w:rsid w:val="5F094293"/>
    <w:rsid w:val="5F1C2834"/>
    <w:rsid w:val="5F2B1163"/>
    <w:rsid w:val="5F3A621F"/>
    <w:rsid w:val="5F483696"/>
    <w:rsid w:val="5F4F1E6B"/>
    <w:rsid w:val="5F574CBF"/>
    <w:rsid w:val="5F7C7033"/>
    <w:rsid w:val="5F861136"/>
    <w:rsid w:val="5F9C7813"/>
    <w:rsid w:val="5FA93A7E"/>
    <w:rsid w:val="5FCB09B4"/>
    <w:rsid w:val="5FCC55B4"/>
    <w:rsid w:val="5FE3080A"/>
    <w:rsid w:val="5FEF770E"/>
    <w:rsid w:val="5FF12C89"/>
    <w:rsid w:val="5FF93363"/>
    <w:rsid w:val="600C48A5"/>
    <w:rsid w:val="600E0381"/>
    <w:rsid w:val="60152FF2"/>
    <w:rsid w:val="601F7192"/>
    <w:rsid w:val="6020547D"/>
    <w:rsid w:val="603658A5"/>
    <w:rsid w:val="603B63F3"/>
    <w:rsid w:val="60424BB6"/>
    <w:rsid w:val="606B1DA7"/>
    <w:rsid w:val="606E4EAA"/>
    <w:rsid w:val="608025F0"/>
    <w:rsid w:val="60827AAC"/>
    <w:rsid w:val="608B7802"/>
    <w:rsid w:val="60A056E7"/>
    <w:rsid w:val="60B3541A"/>
    <w:rsid w:val="60B3720A"/>
    <w:rsid w:val="60C3249E"/>
    <w:rsid w:val="60C41924"/>
    <w:rsid w:val="60E636D7"/>
    <w:rsid w:val="60E9305D"/>
    <w:rsid w:val="61034A71"/>
    <w:rsid w:val="610407AC"/>
    <w:rsid w:val="610E05B6"/>
    <w:rsid w:val="611A516C"/>
    <w:rsid w:val="611F2AAF"/>
    <w:rsid w:val="614C72C9"/>
    <w:rsid w:val="61692624"/>
    <w:rsid w:val="616C7ADC"/>
    <w:rsid w:val="61834970"/>
    <w:rsid w:val="61915B6A"/>
    <w:rsid w:val="61A22D98"/>
    <w:rsid w:val="61D3701F"/>
    <w:rsid w:val="61DB6EE5"/>
    <w:rsid w:val="61EC6B7D"/>
    <w:rsid w:val="61F15A45"/>
    <w:rsid w:val="61F77B72"/>
    <w:rsid w:val="61FB03E8"/>
    <w:rsid w:val="621E38A9"/>
    <w:rsid w:val="62211CC2"/>
    <w:rsid w:val="62236B5C"/>
    <w:rsid w:val="62302B1A"/>
    <w:rsid w:val="62487DE4"/>
    <w:rsid w:val="624B147E"/>
    <w:rsid w:val="626243A0"/>
    <w:rsid w:val="62633148"/>
    <w:rsid w:val="626D02AB"/>
    <w:rsid w:val="629B7CC7"/>
    <w:rsid w:val="62A96AD4"/>
    <w:rsid w:val="62F029CF"/>
    <w:rsid w:val="62FB2247"/>
    <w:rsid w:val="63027A37"/>
    <w:rsid w:val="630D7CD1"/>
    <w:rsid w:val="63100901"/>
    <w:rsid w:val="631E21C4"/>
    <w:rsid w:val="632960A5"/>
    <w:rsid w:val="6330572A"/>
    <w:rsid w:val="633B746C"/>
    <w:rsid w:val="63532925"/>
    <w:rsid w:val="636D043F"/>
    <w:rsid w:val="636D204A"/>
    <w:rsid w:val="63712453"/>
    <w:rsid w:val="63715118"/>
    <w:rsid w:val="638B4CB7"/>
    <w:rsid w:val="63D339A6"/>
    <w:rsid w:val="63F22BC0"/>
    <w:rsid w:val="63F465C4"/>
    <w:rsid w:val="640B5E1E"/>
    <w:rsid w:val="641457E4"/>
    <w:rsid w:val="641D69ED"/>
    <w:rsid w:val="64630F05"/>
    <w:rsid w:val="646C5EDD"/>
    <w:rsid w:val="647A30E3"/>
    <w:rsid w:val="64805B23"/>
    <w:rsid w:val="649410BE"/>
    <w:rsid w:val="649E3CEB"/>
    <w:rsid w:val="64AC0143"/>
    <w:rsid w:val="64AC3253"/>
    <w:rsid w:val="64B40872"/>
    <w:rsid w:val="64FA057E"/>
    <w:rsid w:val="64FC71EC"/>
    <w:rsid w:val="65256709"/>
    <w:rsid w:val="65326A49"/>
    <w:rsid w:val="653438C6"/>
    <w:rsid w:val="653F1A0F"/>
    <w:rsid w:val="654F4302"/>
    <w:rsid w:val="65565DE9"/>
    <w:rsid w:val="6558033E"/>
    <w:rsid w:val="657038D9"/>
    <w:rsid w:val="657213FC"/>
    <w:rsid w:val="657F4273"/>
    <w:rsid w:val="65846BC3"/>
    <w:rsid w:val="65871ED4"/>
    <w:rsid w:val="65BF73BF"/>
    <w:rsid w:val="65C71020"/>
    <w:rsid w:val="65CC4A57"/>
    <w:rsid w:val="65E02479"/>
    <w:rsid w:val="661204ED"/>
    <w:rsid w:val="66143C2D"/>
    <w:rsid w:val="6621155B"/>
    <w:rsid w:val="66432D9C"/>
    <w:rsid w:val="66537B83"/>
    <w:rsid w:val="665A0C45"/>
    <w:rsid w:val="665C4848"/>
    <w:rsid w:val="66652341"/>
    <w:rsid w:val="666A41F2"/>
    <w:rsid w:val="667142CA"/>
    <w:rsid w:val="66A97B02"/>
    <w:rsid w:val="66B70E81"/>
    <w:rsid w:val="66BE7558"/>
    <w:rsid w:val="66C91495"/>
    <w:rsid w:val="66D51156"/>
    <w:rsid w:val="66D91535"/>
    <w:rsid w:val="66E35129"/>
    <w:rsid w:val="66E55D21"/>
    <w:rsid w:val="66FF3B38"/>
    <w:rsid w:val="67010561"/>
    <w:rsid w:val="670753DD"/>
    <w:rsid w:val="670775EB"/>
    <w:rsid w:val="67200AA1"/>
    <w:rsid w:val="67351D49"/>
    <w:rsid w:val="673B7F17"/>
    <w:rsid w:val="674A4E59"/>
    <w:rsid w:val="67544269"/>
    <w:rsid w:val="675E1C15"/>
    <w:rsid w:val="67686E51"/>
    <w:rsid w:val="676B5A0F"/>
    <w:rsid w:val="678064C4"/>
    <w:rsid w:val="67866863"/>
    <w:rsid w:val="67920381"/>
    <w:rsid w:val="67943989"/>
    <w:rsid w:val="67957627"/>
    <w:rsid w:val="67A21E2E"/>
    <w:rsid w:val="67B10283"/>
    <w:rsid w:val="67B50A89"/>
    <w:rsid w:val="67B825FA"/>
    <w:rsid w:val="67BB59EA"/>
    <w:rsid w:val="67D626CE"/>
    <w:rsid w:val="67DB2F87"/>
    <w:rsid w:val="67E07373"/>
    <w:rsid w:val="67FF13EC"/>
    <w:rsid w:val="68063F90"/>
    <w:rsid w:val="68183F6D"/>
    <w:rsid w:val="68246F8B"/>
    <w:rsid w:val="68283C8B"/>
    <w:rsid w:val="68380CEE"/>
    <w:rsid w:val="68431027"/>
    <w:rsid w:val="684B732F"/>
    <w:rsid w:val="685C72B9"/>
    <w:rsid w:val="687F6728"/>
    <w:rsid w:val="689D41C3"/>
    <w:rsid w:val="68B849DE"/>
    <w:rsid w:val="68B94A42"/>
    <w:rsid w:val="68CA5D6E"/>
    <w:rsid w:val="68CF2329"/>
    <w:rsid w:val="68DA5E20"/>
    <w:rsid w:val="68DF4F2B"/>
    <w:rsid w:val="690723A1"/>
    <w:rsid w:val="690D464A"/>
    <w:rsid w:val="690F2F18"/>
    <w:rsid w:val="69113FEB"/>
    <w:rsid w:val="69232A11"/>
    <w:rsid w:val="692416F4"/>
    <w:rsid w:val="69256292"/>
    <w:rsid w:val="69266EEC"/>
    <w:rsid w:val="69335FEA"/>
    <w:rsid w:val="694C0E3E"/>
    <w:rsid w:val="69927272"/>
    <w:rsid w:val="69A26638"/>
    <w:rsid w:val="69AC4117"/>
    <w:rsid w:val="69ED11B0"/>
    <w:rsid w:val="69EE4AD5"/>
    <w:rsid w:val="69F41483"/>
    <w:rsid w:val="69F96E9C"/>
    <w:rsid w:val="6A0B56DD"/>
    <w:rsid w:val="6A104573"/>
    <w:rsid w:val="6A13552B"/>
    <w:rsid w:val="6A2045A6"/>
    <w:rsid w:val="6A2837FE"/>
    <w:rsid w:val="6A2C2329"/>
    <w:rsid w:val="6A320654"/>
    <w:rsid w:val="6A386DC7"/>
    <w:rsid w:val="6A3C5EDC"/>
    <w:rsid w:val="6A563533"/>
    <w:rsid w:val="6A833C18"/>
    <w:rsid w:val="6A9B1A51"/>
    <w:rsid w:val="6ADF6E0B"/>
    <w:rsid w:val="6AE00A7A"/>
    <w:rsid w:val="6AE070E8"/>
    <w:rsid w:val="6AF16B24"/>
    <w:rsid w:val="6AF46067"/>
    <w:rsid w:val="6AFE1987"/>
    <w:rsid w:val="6B053392"/>
    <w:rsid w:val="6B0C1CA8"/>
    <w:rsid w:val="6B0C7755"/>
    <w:rsid w:val="6B19053E"/>
    <w:rsid w:val="6B3A7ABC"/>
    <w:rsid w:val="6B3E7BA8"/>
    <w:rsid w:val="6B4A74E9"/>
    <w:rsid w:val="6B5E17F2"/>
    <w:rsid w:val="6B6167F0"/>
    <w:rsid w:val="6B774707"/>
    <w:rsid w:val="6B7C42D3"/>
    <w:rsid w:val="6BA760AD"/>
    <w:rsid w:val="6BB1586A"/>
    <w:rsid w:val="6BC12DD0"/>
    <w:rsid w:val="6BCA6F7B"/>
    <w:rsid w:val="6BD059B6"/>
    <w:rsid w:val="6BDB18FC"/>
    <w:rsid w:val="6BE127B8"/>
    <w:rsid w:val="6C045BF0"/>
    <w:rsid w:val="6C3B7713"/>
    <w:rsid w:val="6C513B3C"/>
    <w:rsid w:val="6C517A2C"/>
    <w:rsid w:val="6C57487F"/>
    <w:rsid w:val="6C7B4B9C"/>
    <w:rsid w:val="6C7F1C3B"/>
    <w:rsid w:val="6C9D02C1"/>
    <w:rsid w:val="6CB2690B"/>
    <w:rsid w:val="6CB667E6"/>
    <w:rsid w:val="6CB71DEE"/>
    <w:rsid w:val="6CC0052F"/>
    <w:rsid w:val="6CC120FC"/>
    <w:rsid w:val="6CC809AF"/>
    <w:rsid w:val="6CC96DBF"/>
    <w:rsid w:val="6CD96208"/>
    <w:rsid w:val="6CDD1BF7"/>
    <w:rsid w:val="6CE21F8F"/>
    <w:rsid w:val="6D046DB6"/>
    <w:rsid w:val="6D08567C"/>
    <w:rsid w:val="6D0E08A3"/>
    <w:rsid w:val="6D0F1C2A"/>
    <w:rsid w:val="6D250004"/>
    <w:rsid w:val="6D321474"/>
    <w:rsid w:val="6D407845"/>
    <w:rsid w:val="6D415D74"/>
    <w:rsid w:val="6D512242"/>
    <w:rsid w:val="6D632059"/>
    <w:rsid w:val="6D6353C0"/>
    <w:rsid w:val="6D6B2F90"/>
    <w:rsid w:val="6D7952F5"/>
    <w:rsid w:val="6D816E3C"/>
    <w:rsid w:val="6D9223A4"/>
    <w:rsid w:val="6D9771AC"/>
    <w:rsid w:val="6DA3010D"/>
    <w:rsid w:val="6DAC7B02"/>
    <w:rsid w:val="6DAD5461"/>
    <w:rsid w:val="6DB16386"/>
    <w:rsid w:val="6DB92E8C"/>
    <w:rsid w:val="6DC76535"/>
    <w:rsid w:val="6DE34316"/>
    <w:rsid w:val="6DF63D63"/>
    <w:rsid w:val="6E1B512B"/>
    <w:rsid w:val="6E1F1170"/>
    <w:rsid w:val="6E215179"/>
    <w:rsid w:val="6E225D58"/>
    <w:rsid w:val="6E2B0E67"/>
    <w:rsid w:val="6E2D3D55"/>
    <w:rsid w:val="6E2E2B8B"/>
    <w:rsid w:val="6E477F27"/>
    <w:rsid w:val="6E4A4D51"/>
    <w:rsid w:val="6E4E0561"/>
    <w:rsid w:val="6E577D60"/>
    <w:rsid w:val="6E5E3A65"/>
    <w:rsid w:val="6E6271C2"/>
    <w:rsid w:val="6E766A60"/>
    <w:rsid w:val="6E7F7504"/>
    <w:rsid w:val="6E8035BC"/>
    <w:rsid w:val="6E8544EF"/>
    <w:rsid w:val="6E980B53"/>
    <w:rsid w:val="6EAE5CDD"/>
    <w:rsid w:val="6EB84432"/>
    <w:rsid w:val="6ED337A8"/>
    <w:rsid w:val="6ED47580"/>
    <w:rsid w:val="6ED51CB5"/>
    <w:rsid w:val="6EDF3491"/>
    <w:rsid w:val="6EF45CF4"/>
    <w:rsid w:val="6F413BF1"/>
    <w:rsid w:val="6F4A462F"/>
    <w:rsid w:val="6F4F5AD7"/>
    <w:rsid w:val="6F666E65"/>
    <w:rsid w:val="6F672765"/>
    <w:rsid w:val="6F711D11"/>
    <w:rsid w:val="6F726975"/>
    <w:rsid w:val="6F801AE8"/>
    <w:rsid w:val="6F814935"/>
    <w:rsid w:val="6F975327"/>
    <w:rsid w:val="6FB13DDC"/>
    <w:rsid w:val="6FB27657"/>
    <w:rsid w:val="6FB35F22"/>
    <w:rsid w:val="6FC1211F"/>
    <w:rsid w:val="6FD419CC"/>
    <w:rsid w:val="6FDE4875"/>
    <w:rsid w:val="6FEF71B5"/>
    <w:rsid w:val="700261B0"/>
    <w:rsid w:val="70036A9E"/>
    <w:rsid w:val="70197272"/>
    <w:rsid w:val="701A07AF"/>
    <w:rsid w:val="70451C9F"/>
    <w:rsid w:val="706C2EEF"/>
    <w:rsid w:val="70783560"/>
    <w:rsid w:val="707F68F7"/>
    <w:rsid w:val="709C435E"/>
    <w:rsid w:val="70A10ACF"/>
    <w:rsid w:val="70A751BB"/>
    <w:rsid w:val="70E11184"/>
    <w:rsid w:val="70EA1389"/>
    <w:rsid w:val="70EB475C"/>
    <w:rsid w:val="71025602"/>
    <w:rsid w:val="710F044A"/>
    <w:rsid w:val="7112161F"/>
    <w:rsid w:val="71143DDD"/>
    <w:rsid w:val="71171748"/>
    <w:rsid w:val="71340B3C"/>
    <w:rsid w:val="71341EA1"/>
    <w:rsid w:val="71366007"/>
    <w:rsid w:val="713E2ADE"/>
    <w:rsid w:val="714B429D"/>
    <w:rsid w:val="716A502B"/>
    <w:rsid w:val="717442A3"/>
    <w:rsid w:val="717E2E69"/>
    <w:rsid w:val="71814B61"/>
    <w:rsid w:val="718412B5"/>
    <w:rsid w:val="718F7FCF"/>
    <w:rsid w:val="71A55641"/>
    <w:rsid w:val="71B640B9"/>
    <w:rsid w:val="71C1414E"/>
    <w:rsid w:val="71C942F4"/>
    <w:rsid w:val="71F70B5B"/>
    <w:rsid w:val="71F94C57"/>
    <w:rsid w:val="7239102C"/>
    <w:rsid w:val="7249183F"/>
    <w:rsid w:val="725D0F50"/>
    <w:rsid w:val="72700B18"/>
    <w:rsid w:val="72826F29"/>
    <w:rsid w:val="72850960"/>
    <w:rsid w:val="7286755D"/>
    <w:rsid w:val="7294004F"/>
    <w:rsid w:val="72B40F1F"/>
    <w:rsid w:val="72C7270A"/>
    <w:rsid w:val="72D4387A"/>
    <w:rsid w:val="72EA5884"/>
    <w:rsid w:val="72F06C85"/>
    <w:rsid w:val="730C074B"/>
    <w:rsid w:val="73270725"/>
    <w:rsid w:val="73290C41"/>
    <w:rsid w:val="732A3298"/>
    <w:rsid w:val="733A02D4"/>
    <w:rsid w:val="733A1096"/>
    <w:rsid w:val="733C0484"/>
    <w:rsid w:val="73545C9D"/>
    <w:rsid w:val="73863AB6"/>
    <w:rsid w:val="73884DE5"/>
    <w:rsid w:val="73915BBA"/>
    <w:rsid w:val="73997D7F"/>
    <w:rsid w:val="739F7DDD"/>
    <w:rsid w:val="73D2688D"/>
    <w:rsid w:val="73D6450C"/>
    <w:rsid w:val="73F51ECC"/>
    <w:rsid w:val="7407605B"/>
    <w:rsid w:val="742D5A7D"/>
    <w:rsid w:val="74302DC3"/>
    <w:rsid w:val="744215FB"/>
    <w:rsid w:val="74595475"/>
    <w:rsid w:val="746F2D2A"/>
    <w:rsid w:val="74C26903"/>
    <w:rsid w:val="74C9289A"/>
    <w:rsid w:val="74F66238"/>
    <w:rsid w:val="74FA5D1E"/>
    <w:rsid w:val="74FB6001"/>
    <w:rsid w:val="75045DEC"/>
    <w:rsid w:val="7508401D"/>
    <w:rsid w:val="751C353C"/>
    <w:rsid w:val="75664396"/>
    <w:rsid w:val="758B0FDD"/>
    <w:rsid w:val="75A460BA"/>
    <w:rsid w:val="75AB5587"/>
    <w:rsid w:val="75C12655"/>
    <w:rsid w:val="75CC4A87"/>
    <w:rsid w:val="75DD4A5B"/>
    <w:rsid w:val="75F36720"/>
    <w:rsid w:val="76364737"/>
    <w:rsid w:val="76407F17"/>
    <w:rsid w:val="765F33A4"/>
    <w:rsid w:val="76634D94"/>
    <w:rsid w:val="767F0351"/>
    <w:rsid w:val="76823AD8"/>
    <w:rsid w:val="76BD0EEF"/>
    <w:rsid w:val="76D80B3E"/>
    <w:rsid w:val="76FE2720"/>
    <w:rsid w:val="77017EA5"/>
    <w:rsid w:val="770A2F6E"/>
    <w:rsid w:val="770C216A"/>
    <w:rsid w:val="771B1288"/>
    <w:rsid w:val="771D3521"/>
    <w:rsid w:val="773651D5"/>
    <w:rsid w:val="773B23B9"/>
    <w:rsid w:val="774261D2"/>
    <w:rsid w:val="7772046A"/>
    <w:rsid w:val="7787392A"/>
    <w:rsid w:val="77940A9B"/>
    <w:rsid w:val="77A21D66"/>
    <w:rsid w:val="77B30E86"/>
    <w:rsid w:val="77C730EE"/>
    <w:rsid w:val="77D428F6"/>
    <w:rsid w:val="77EB535A"/>
    <w:rsid w:val="77EE6F2C"/>
    <w:rsid w:val="77F56071"/>
    <w:rsid w:val="77F66FC5"/>
    <w:rsid w:val="77FB4D98"/>
    <w:rsid w:val="780445AA"/>
    <w:rsid w:val="780B4D84"/>
    <w:rsid w:val="78420247"/>
    <w:rsid w:val="784851FA"/>
    <w:rsid w:val="784B6464"/>
    <w:rsid w:val="785902C5"/>
    <w:rsid w:val="788E17B3"/>
    <w:rsid w:val="788F1964"/>
    <w:rsid w:val="788F505D"/>
    <w:rsid w:val="789C4ED1"/>
    <w:rsid w:val="78A173DF"/>
    <w:rsid w:val="78A73657"/>
    <w:rsid w:val="78A86127"/>
    <w:rsid w:val="78CA013C"/>
    <w:rsid w:val="78D37FAF"/>
    <w:rsid w:val="78D41E8B"/>
    <w:rsid w:val="78DA4873"/>
    <w:rsid w:val="78EB5FAC"/>
    <w:rsid w:val="78EE2915"/>
    <w:rsid w:val="78F20F45"/>
    <w:rsid w:val="79047904"/>
    <w:rsid w:val="79314CD6"/>
    <w:rsid w:val="793E4273"/>
    <w:rsid w:val="794A6F77"/>
    <w:rsid w:val="797325B5"/>
    <w:rsid w:val="799C65B4"/>
    <w:rsid w:val="79A06DEE"/>
    <w:rsid w:val="79A07621"/>
    <w:rsid w:val="79AE4635"/>
    <w:rsid w:val="79BB460E"/>
    <w:rsid w:val="79C268A1"/>
    <w:rsid w:val="79CE28AF"/>
    <w:rsid w:val="79EB1A9F"/>
    <w:rsid w:val="7A265727"/>
    <w:rsid w:val="7A443589"/>
    <w:rsid w:val="7A594C21"/>
    <w:rsid w:val="7A727450"/>
    <w:rsid w:val="7A764C0D"/>
    <w:rsid w:val="7A7B1C5A"/>
    <w:rsid w:val="7A9D30AF"/>
    <w:rsid w:val="7AB14D88"/>
    <w:rsid w:val="7ABD7706"/>
    <w:rsid w:val="7AD93830"/>
    <w:rsid w:val="7AF86291"/>
    <w:rsid w:val="7B0466F1"/>
    <w:rsid w:val="7B2B0159"/>
    <w:rsid w:val="7B5B021A"/>
    <w:rsid w:val="7B5F49F4"/>
    <w:rsid w:val="7B692890"/>
    <w:rsid w:val="7B6B0973"/>
    <w:rsid w:val="7B6C5457"/>
    <w:rsid w:val="7B75358B"/>
    <w:rsid w:val="7B770BB6"/>
    <w:rsid w:val="7B8B4640"/>
    <w:rsid w:val="7B9D1A0E"/>
    <w:rsid w:val="7B9E6C31"/>
    <w:rsid w:val="7BA75CDD"/>
    <w:rsid w:val="7BCD20A3"/>
    <w:rsid w:val="7BDF31CA"/>
    <w:rsid w:val="7BE27395"/>
    <w:rsid w:val="7BF1321C"/>
    <w:rsid w:val="7BF73E78"/>
    <w:rsid w:val="7BFE2FA0"/>
    <w:rsid w:val="7C010C4E"/>
    <w:rsid w:val="7C1D33ED"/>
    <w:rsid w:val="7C4249DC"/>
    <w:rsid w:val="7C431AA4"/>
    <w:rsid w:val="7C43544C"/>
    <w:rsid w:val="7C55521B"/>
    <w:rsid w:val="7C797A47"/>
    <w:rsid w:val="7CC548D0"/>
    <w:rsid w:val="7CD2604D"/>
    <w:rsid w:val="7CDF6EDC"/>
    <w:rsid w:val="7D235DBE"/>
    <w:rsid w:val="7D241B91"/>
    <w:rsid w:val="7D5B457C"/>
    <w:rsid w:val="7D6A4448"/>
    <w:rsid w:val="7DA26E36"/>
    <w:rsid w:val="7DC5007A"/>
    <w:rsid w:val="7DC52D0A"/>
    <w:rsid w:val="7DD826BB"/>
    <w:rsid w:val="7DDB5EAE"/>
    <w:rsid w:val="7DE1372E"/>
    <w:rsid w:val="7DEE789A"/>
    <w:rsid w:val="7E0B5CB3"/>
    <w:rsid w:val="7E124BB5"/>
    <w:rsid w:val="7E144AFE"/>
    <w:rsid w:val="7E234373"/>
    <w:rsid w:val="7E2C20E4"/>
    <w:rsid w:val="7E2D7BF2"/>
    <w:rsid w:val="7E341EFF"/>
    <w:rsid w:val="7E37524A"/>
    <w:rsid w:val="7E3930B8"/>
    <w:rsid w:val="7E8B30ED"/>
    <w:rsid w:val="7E8C35C2"/>
    <w:rsid w:val="7E932E62"/>
    <w:rsid w:val="7E9A62EF"/>
    <w:rsid w:val="7E9D3F70"/>
    <w:rsid w:val="7EDF677D"/>
    <w:rsid w:val="7EF946F2"/>
    <w:rsid w:val="7F080220"/>
    <w:rsid w:val="7F111831"/>
    <w:rsid w:val="7F1E56FF"/>
    <w:rsid w:val="7F210E45"/>
    <w:rsid w:val="7F32217F"/>
    <w:rsid w:val="7F35478A"/>
    <w:rsid w:val="7F54130E"/>
    <w:rsid w:val="7F5D4A77"/>
    <w:rsid w:val="7F720F51"/>
    <w:rsid w:val="7F7A2608"/>
    <w:rsid w:val="7F945C91"/>
    <w:rsid w:val="7F9F6368"/>
    <w:rsid w:val="7FBC080E"/>
    <w:rsid w:val="7FC17BAA"/>
    <w:rsid w:val="7FDB5DDB"/>
    <w:rsid w:val="7FEA4B66"/>
    <w:rsid w:val="7FF1652F"/>
    <w:rsid w:val="7FF972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Times New Roman" w:eastAsia="宋体" w:cs="Times New Roman"/>
      <w:sz w:val="24"/>
      <w:lang w:val="en-US" w:eastAsia="zh-CN" w:bidi="ar-SA"/>
    </w:rPr>
  </w:style>
  <w:style w:type="paragraph" w:styleId="3">
    <w:name w:val="heading 1"/>
    <w:basedOn w:val="1"/>
    <w:next w:val="1"/>
    <w:link w:val="287"/>
    <w:autoRedefine/>
    <w:qFormat/>
    <w:uiPriority w:val="0"/>
    <w:pPr>
      <w:keepNext/>
      <w:keepLines/>
      <w:snapToGrid w:val="0"/>
      <w:spacing w:beforeLines="50" w:afterLines="50" w:line="520" w:lineRule="exact"/>
      <w:jc w:val="center"/>
      <w:outlineLvl w:val="0"/>
    </w:pPr>
    <w:rPr>
      <w:rFonts w:ascii="黑体" w:hAnsi="黑体" w:eastAsia="黑体"/>
      <w:b/>
      <w:bCs/>
      <w:kern w:val="44"/>
      <w:sz w:val="36"/>
      <w:szCs w:val="36"/>
    </w:rPr>
  </w:style>
  <w:style w:type="paragraph" w:styleId="4">
    <w:name w:val="heading 2"/>
    <w:basedOn w:val="1"/>
    <w:next w:val="1"/>
    <w:link w:val="285"/>
    <w:autoRedefine/>
    <w:qFormat/>
    <w:uiPriority w:val="0"/>
    <w:pPr>
      <w:keepNext/>
      <w:keepLines/>
      <w:snapToGrid w:val="0"/>
      <w:spacing w:line="520" w:lineRule="exact"/>
      <w:jc w:val="left"/>
      <w:outlineLvl w:val="1"/>
    </w:pPr>
    <w:rPr>
      <w:rFonts w:ascii="楷体" w:hAnsi="楷体" w:eastAsia="楷体"/>
      <w:b/>
      <w:bCs/>
      <w:sz w:val="32"/>
      <w:szCs w:val="32"/>
    </w:rPr>
  </w:style>
  <w:style w:type="paragraph" w:styleId="5">
    <w:name w:val="heading 3"/>
    <w:basedOn w:val="1"/>
    <w:next w:val="1"/>
    <w:link w:val="81"/>
    <w:autoRedefine/>
    <w:qFormat/>
    <w:uiPriority w:val="0"/>
    <w:pPr>
      <w:keepNext/>
      <w:keepLines/>
      <w:snapToGrid w:val="0"/>
      <w:spacing w:line="520" w:lineRule="exact"/>
      <w:jc w:val="left"/>
      <w:outlineLvl w:val="2"/>
    </w:pPr>
    <w:rPr>
      <w:rFonts w:ascii="黑体" w:hAnsi="黑体" w:eastAsia="黑体"/>
      <w:b/>
      <w:bCs/>
      <w:snapToGrid w:val="0"/>
      <w:sz w:val="28"/>
      <w:szCs w:val="28"/>
    </w:rPr>
  </w:style>
  <w:style w:type="paragraph" w:styleId="6">
    <w:name w:val="heading 4"/>
    <w:basedOn w:val="1"/>
    <w:next w:val="1"/>
    <w:link w:val="317"/>
    <w:autoRedefine/>
    <w:qFormat/>
    <w:uiPriority w:val="0"/>
    <w:pPr>
      <w:snapToGrid w:val="0"/>
      <w:spacing w:line="360" w:lineRule="auto"/>
      <w:jc w:val="left"/>
      <w:outlineLvl w:val="3"/>
    </w:pPr>
    <w:rPr>
      <w:rFonts w:ascii="黑体" w:hAnsi="黑体" w:eastAsia="黑体"/>
      <w:b/>
      <w:bCs/>
      <w:kern w:val="2"/>
      <w:sz w:val="28"/>
      <w:szCs w:val="28"/>
    </w:rPr>
  </w:style>
  <w:style w:type="paragraph" w:styleId="7">
    <w:name w:val="heading 5"/>
    <w:basedOn w:val="1"/>
    <w:next w:val="1"/>
    <w:autoRedefine/>
    <w:qFormat/>
    <w:uiPriority w:val="0"/>
    <w:pPr>
      <w:keepNext/>
      <w:keepLines/>
      <w:spacing w:line="374" w:lineRule="auto"/>
      <w:outlineLvl w:val="4"/>
    </w:pPr>
    <w:rPr>
      <w:b/>
      <w:bCs/>
      <w:sz w:val="28"/>
      <w:szCs w:val="28"/>
    </w:rPr>
  </w:style>
  <w:style w:type="paragraph" w:styleId="8">
    <w:name w:val="heading 6"/>
    <w:basedOn w:val="1"/>
    <w:next w:val="9"/>
    <w:autoRedefine/>
    <w:qFormat/>
    <w:uiPriority w:val="0"/>
    <w:pPr>
      <w:keepNext/>
      <w:keepLines/>
      <w:spacing w:line="320" w:lineRule="auto"/>
      <w:outlineLvl w:val="5"/>
    </w:pPr>
    <w:rPr>
      <w:rFonts w:ascii="Arial" w:hAnsi="Arial" w:eastAsia="黑体"/>
      <w:b/>
    </w:rPr>
  </w:style>
  <w:style w:type="paragraph" w:styleId="10">
    <w:name w:val="heading 7"/>
    <w:basedOn w:val="1"/>
    <w:next w:val="9"/>
    <w:autoRedefine/>
    <w:qFormat/>
    <w:uiPriority w:val="0"/>
    <w:pPr>
      <w:keepNext/>
      <w:keepLines/>
      <w:spacing w:line="320" w:lineRule="auto"/>
      <w:outlineLvl w:val="6"/>
    </w:pPr>
    <w:rPr>
      <w:b/>
    </w:rPr>
  </w:style>
  <w:style w:type="paragraph" w:styleId="11">
    <w:name w:val="heading 8"/>
    <w:basedOn w:val="1"/>
    <w:next w:val="9"/>
    <w:autoRedefine/>
    <w:qFormat/>
    <w:uiPriority w:val="0"/>
    <w:pPr>
      <w:keepNext/>
      <w:keepLines/>
      <w:spacing w:line="320" w:lineRule="auto"/>
      <w:outlineLvl w:val="7"/>
    </w:pPr>
    <w:rPr>
      <w:rFonts w:ascii="Arial" w:hAnsi="Arial" w:eastAsia="黑体"/>
    </w:rPr>
  </w:style>
  <w:style w:type="paragraph" w:styleId="12">
    <w:name w:val="heading 9"/>
    <w:basedOn w:val="1"/>
    <w:next w:val="9"/>
    <w:autoRedefine/>
    <w:qFormat/>
    <w:uiPriority w:val="0"/>
    <w:pPr>
      <w:keepNext/>
      <w:keepLines/>
      <w:spacing w:line="320" w:lineRule="auto"/>
      <w:outlineLvl w:val="8"/>
    </w:pPr>
    <w:rPr>
      <w:rFonts w:ascii="Arial" w:hAnsi="Arial" w:eastAsia="黑体"/>
    </w:rPr>
  </w:style>
  <w:style w:type="character" w:default="1" w:styleId="53">
    <w:name w:val="Default Paragraph Font"/>
    <w:autoRedefine/>
    <w:semiHidden/>
    <w:unhideWhenUsed/>
    <w:qFormat/>
    <w:uiPriority w:val="1"/>
  </w:style>
  <w:style w:type="table" w:default="1" w:styleId="51">
    <w:name w:val="Normal Table"/>
    <w:autoRedefine/>
    <w:semiHidden/>
    <w:unhideWhenUsed/>
    <w:qFormat/>
    <w:uiPriority w:val="99"/>
    <w:tblPr>
      <w:tblCellMar>
        <w:top w:w="0" w:type="dxa"/>
        <w:left w:w="108" w:type="dxa"/>
        <w:bottom w:w="0" w:type="dxa"/>
        <w:right w:w="108" w:type="dxa"/>
      </w:tblCellMar>
    </w:tblPr>
  </w:style>
  <w:style w:type="paragraph" w:styleId="2">
    <w:name w:val="macro"/>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9">
    <w:name w:val="Normal Indent"/>
    <w:basedOn w:val="1"/>
    <w:next w:val="1"/>
    <w:link w:val="272"/>
    <w:autoRedefine/>
    <w:qFormat/>
    <w:uiPriority w:val="0"/>
    <w:pPr>
      <w:ind w:firstLine="420" w:firstLineChars="200"/>
    </w:pPr>
    <w:rPr>
      <w:kern w:val="2"/>
      <w:sz w:val="21"/>
      <w:szCs w:val="24"/>
    </w:rPr>
  </w:style>
  <w:style w:type="paragraph" w:styleId="13">
    <w:name w:val="toc 7"/>
    <w:basedOn w:val="1"/>
    <w:next w:val="1"/>
    <w:autoRedefine/>
    <w:qFormat/>
    <w:uiPriority w:val="39"/>
    <w:pPr>
      <w:ind w:left="2520" w:leftChars="1200"/>
    </w:pPr>
  </w:style>
  <w:style w:type="paragraph" w:styleId="14">
    <w:name w:val="index 8"/>
    <w:basedOn w:val="1"/>
    <w:next w:val="1"/>
    <w:autoRedefine/>
    <w:qFormat/>
    <w:uiPriority w:val="0"/>
    <w:pPr>
      <w:ind w:left="1680" w:hanging="210"/>
      <w:jc w:val="left"/>
    </w:pPr>
  </w:style>
  <w:style w:type="paragraph" w:styleId="15">
    <w:name w:val="caption"/>
    <w:basedOn w:val="1"/>
    <w:next w:val="1"/>
    <w:autoRedefine/>
    <w:qFormat/>
    <w:uiPriority w:val="0"/>
    <w:rPr>
      <w:rFonts w:ascii="Arial" w:hAnsi="Arial" w:eastAsia="黑体" w:cs="Arial"/>
      <w:sz w:val="15"/>
    </w:rPr>
  </w:style>
  <w:style w:type="paragraph" w:styleId="16">
    <w:name w:val="Document Map"/>
    <w:basedOn w:val="1"/>
    <w:link w:val="319"/>
    <w:autoRedefine/>
    <w:qFormat/>
    <w:uiPriority w:val="0"/>
    <w:rPr>
      <w:sz w:val="18"/>
      <w:szCs w:val="18"/>
    </w:rPr>
  </w:style>
  <w:style w:type="paragraph" w:styleId="17">
    <w:name w:val="toa heading"/>
    <w:basedOn w:val="1"/>
    <w:next w:val="1"/>
    <w:autoRedefine/>
    <w:semiHidden/>
    <w:qFormat/>
    <w:uiPriority w:val="0"/>
    <w:pPr>
      <w:spacing w:before="120"/>
    </w:pPr>
    <w:rPr>
      <w:rFonts w:ascii="Arial" w:hAnsi="Arial" w:cs="Arial"/>
      <w:kern w:val="2"/>
    </w:rPr>
  </w:style>
  <w:style w:type="paragraph" w:styleId="18">
    <w:name w:val="annotation text"/>
    <w:basedOn w:val="1"/>
    <w:next w:val="19"/>
    <w:autoRedefine/>
    <w:qFormat/>
    <w:uiPriority w:val="0"/>
    <w:pPr>
      <w:jc w:val="left"/>
    </w:pPr>
    <w:rPr>
      <w:kern w:val="2"/>
      <w:sz w:val="21"/>
      <w:szCs w:val="24"/>
    </w:rPr>
  </w:style>
  <w:style w:type="paragraph" w:styleId="19">
    <w:name w:val="Body Text Indent 2"/>
    <w:basedOn w:val="1"/>
    <w:autoRedefine/>
    <w:qFormat/>
    <w:uiPriority w:val="0"/>
    <w:pPr>
      <w:spacing w:line="480" w:lineRule="auto"/>
      <w:ind w:left="420" w:leftChars="200"/>
    </w:pPr>
  </w:style>
  <w:style w:type="paragraph" w:styleId="20">
    <w:name w:val="Salutation"/>
    <w:basedOn w:val="1"/>
    <w:next w:val="1"/>
    <w:autoRedefine/>
    <w:qFormat/>
    <w:uiPriority w:val="0"/>
    <w:pPr>
      <w:adjustRightInd w:val="0"/>
      <w:snapToGrid w:val="0"/>
    </w:pPr>
    <w:rPr>
      <w:sz w:val="28"/>
    </w:rPr>
  </w:style>
  <w:style w:type="paragraph" w:styleId="21">
    <w:name w:val="Body Text 3"/>
    <w:basedOn w:val="1"/>
    <w:link w:val="293"/>
    <w:autoRedefine/>
    <w:qFormat/>
    <w:uiPriority w:val="0"/>
    <w:rPr>
      <w:kern w:val="2"/>
      <w:sz w:val="16"/>
      <w:szCs w:val="16"/>
    </w:rPr>
  </w:style>
  <w:style w:type="paragraph" w:styleId="22">
    <w:name w:val="Body Text"/>
    <w:basedOn w:val="1"/>
    <w:next w:val="1"/>
    <w:link w:val="284"/>
    <w:autoRedefine/>
    <w:qFormat/>
    <w:uiPriority w:val="0"/>
    <w:rPr>
      <w:kern w:val="2"/>
      <w:sz w:val="21"/>
      <w:szCs w:val="24"/>
    </w:rPr>
  </w:style>
  <w:style w:type="paragraph" w:styleId="23">
    <w:name w:val="Body Text Indent"/>
    <w:basedOn w:val="1"/>
    <w:autoRedefine/>
    <w:qFormat/>
    <w:uiPriority w:val="0"/>
    <w:pPr>
      <w:ind w:left="420" w:leftChars="200"/>
    </w:pPr>
  </w:style>
  <w:style w:type="paragraph" w:styleId="24">
    <w:name w:val="Block Text"/>
    <w:basedOn w:val="1"/>
    <w:autoRedefine/>
    <w:qFormat/>
    <w:uiPriority w:val="0"/>
    <w:pPr>
      <w:adjustRightInd w:val="0"/>
      <w:spacing w:line="312" w:lineRule="atLeast"/>
      <w:ind w:left="210" w:right="16"/>
      <w:textAlignment w:val="baseline"/>
    </w:pPr>
    <w:rPr>
      <w:sz w:val="28"/>
    </w:rPr>
  </w:style>
  <w:style w:type="paragraph" w:styleId="25">
    <w:name w:val="List Bullet 2"/>
    <w:basedOn w:val="1"/>
    <w:autoRedefine/>
    <w:qFormat/>
    <w:uiPriority w:val="0"/>
    <w:pPr>
      <w:spacing w:line="500" w:lineRule="exact"/>
      <w:ind w:firstLine="211" w:firstLineChars="100"/>
      <w:jc w:val="center"/>
    </w:pPr>
    <w:rPr>
      <w:rFonts w:hAnsi="宋体"/>
      <w:b/>
      <w:snapToGrid w:val="0"/>
      <w:color w:val="000000"/>
    </w:rPr>
  </w:style>
  <w:style w:type="paragraph" w:styleId="26">
    <w:name w:val="toc 5"/>
    <w:basedOn w:val="1"/>
    <w:next w:val="1"/>
    <w:autoRedefine/>
    <w:qFormat/>
    <w:uiPriority w:val="39"/>
    <w:pPr>
      <w:ind w:left="1680" w:leftChars="800"/>
    </w:pPr>
  </w:style>
  <w:style w:type="paragraph" w:styleId="27">
    <w:name w:val="toc 3"/>
    <w:basedOn w:val="1"/>
    <w:next w:val="1"/>
    <w:autoRedefine/>
    <w:qFormat/>
    <w:uiPriority w:val="39"/>
    <w:pPr>
      <w:ind w:left="840" w:leftChars="400"/>
    </w:pPr>
  </w:style>
  <w:style w:type="paragraph" w:styleId="28">
    <w:name w:val="Plain Text"/>
    <w:basedOn w:val="1"/>
    <w:link w:val="268"/>
    <w:autoRedefine/>
    <w:qFormat/>
    <w:uiPriority w:val="0"/>
    <w:pPr>
      <w:adjustRightInd w:val="0"/>
      <w:textAlignment w:val="baseline"/>
    </w:pPr>
    <w:rPr>
      <w:rFonts w:hAnsi="Courier New"/>
      <w:kern w:val="2"/>
      <w:sz w:val="28"/>
    </w:rPr>
  </w:style>
  <w:style w:type="paragraph" w:styleId="29">
    <w:name w:val="toc 8"/>
    <w:basedOn w:val="1"/>
    <w:next w:val="1"/>
    <w:autoRedefine/>
    <w:qFormat/>
    <w:uiPriority w:val="39"/>
    <w:pPr>
      <w:ind w:left="2940" w:leftChars="1400"/>
    </w:pPr>
  </w:style>
  <w:style w:type="paragraph" w:styleId="30">
    <w:name w:val="Date"/>
    <w:basedOn w:val="1"/>
    <w:next w:val="1"/>
    <w:link w:val="278"/>
    <w:autoRedefine/>
    <w:qFormat/>
    <w:uiPriority w:val="0"/>
  </w:style>
  <w:style w:type="paragraph" w:styleId="31">
    <w:name w:val="Balloon Text"/>
    <w:basedOn w:val="1"/>
    <w:autoRedefine/>
    <w:qFormat/>
    <w:uiPriority w:val="0"/>
    <w:rPr>
      <w:sz w:val="18"/>
      <w:szCs w:val="18"/>
    </w:rPr>
  </w:style>
  <w:style w:type="paragraph" w:styleId="32">
    <w:name w:val="footer"/>
    <w:basedOn w:val="1"/>
    <w:link w:val="330"/>
    <w:autoRedefine/>
    <w:qFormat/>
    <w:uiPriority w:val="0"/>
    <w:pPr>
      <w:tabs>
        <w:tab w:val="center" w:pos="4153"/>
        <w:tab w:val="right" w:pos="8306"/>
      </w:tabs>
      <w:snapToGrid w:val="0"/>
      <w:jc w:val="left"/>
    </w:pPr>
    <w:rPr>
      <w:sz w:val="18"/>
      <w:szCs w:val="18"/>
    </w:rPr>
  </w:style>
  <w:style w:type="paragraph" w:styleId="33">
    <w:name w:val="header"/>
    <w:basedOn w:val="1"/>
    <w:next w:val="1"/>
    <w:autoRedefine/>
    <w:qFormat/>
    <w:uiPriority w:val="0"/>
    <w:pPr>
      <w:pBdr>
        <w:bottom w:val="single" w:color="auto" w:sz="6" w:space="1"/>
      </w:pBdr>
      <w:tabs>
        <w:tab w:val="center" w:pos="4153"/>
        <w:tab w:val="right" w:pos="8306"/>
      </w:tabs>
      <w:snapToGrid w:val="0"/>
      <w:jc w:val="center"/>
    </w:pPr>
    <w:rPr>
      <w:sz w:val="18"/>
    </w:rPr>
  </w:style>
  <w:style w:type="paragraph" w:styleId="34">
    <w:name w:val="toc 1"/>
    <w:basedOn w:val="1"/>
    <w:next w:val="1"/>
    <w:autoRedefine/>
    <w:qFormat/>
    <w:uiPriority w:val="39"/>
  </w:style>
  <w:style w:type="paragraph" w:styleId="35">
    <w:name w:val="toc 4"/>
    <w:basedOn w:val="1"/>
    <w:next w:val="1"/>
    <w:autoRedefine/>
    <w:qFormat/>
    <w:uiPriority w:val="39"/>
    <w:pPr>
      <w:ind w:left="1260" w:leftChars="600"/>
    </w:pPr>
  </w:style>
  <w:style w:type="paragraph" w:styleId="36">
    <w:name w:val="index heading"/>
    <w:basedOn w:val="1"/>
    <w:next w:val="37"/>
    <w:autoRedefine/>
    <w:qFormat/>
    <w:uiPriority w:val="0"/>
  </w:style>
  <w:style w:type="paragraph" w:styleId="37">
    <w:name w:val="index 1"/>
    <w:basedOn w:val="1"/>
    <w:next w:val="1"/>
    <w:autoRedefine/>
    <w:qFormat/>
    <w:uiPriority w:val="0"/>
  </w:style>
  <w:style w:type="paragraph" w:styleId="38">
    <w:name w:val="Subtitle"/>
    <w:basedOn w:val="1"/>
    <w:next w:val="1"/>
    <w:autoRedefine/>
    <w:qFormat/>
    <w:uiPriority w:val="0"/>
    <w:pPr>
      <w:spacing w:line="312" w:lineRule="auto"/>
      <w:jc w:val="center"/>
      <w:outlineLvl w:val="1"/>
    </w:pPr>
    <w:rPr>
      <w:rFonts w:ascii="Cambria" w:hAnsi="Cambria"/>
      <w:b/>
      <w:bCs/>
      <w:kern w:val="28"/>
      <w:sz w:val="32"/>
      <w:szCs w:val="32"/>
    </w:rPr>
  </w:style>
  <w:style w:type="paragraph" w:styleId="39">
    <w:name w:val="toc 6"/>
    <w:basedOn w:val="1"/>
    <w:next w:val="1"/>
    <w:autoRedefine/>
    <w:qFormat/>
    <w:uiPriority w:val="39"/>
    <w:pPr>
      <w:ind w:left="2100" w:leftChars="1000"/>
    </w:pPr>
  </w:style>
  <w:style w:type="paragraph" w:styleId="40">
    <w:name w:val="Body Text Indent 3"/>
    <w:basedOn w:val="1"/>
    <w:autoRedefine/>
    <w:qFormat/>
    <w:uiPriority w:val="0"/>
    <w:pPr>
      <w:ind w:left="420" w:leftChars="200"/>
    </w:pPr>
    <w:rPr>
      <w:sz w:val="16"/>
      <w:szCs w:val="16"/>
    </w:rPr>
  </w:style>
  <w:style w:type="paragraph" w:styleId="41">
    <w:name w:val="table of figures"/>
    <w:basedOn w:val="1"/>
    <w:next w:val="1"/>
    <w:autoRedefine/>
    <w:qFormat/>
    <w:uiPriority w:val="0"/>
    <w:pPr>
      <w:ind w:left="420" w:hanging="420"/>
      <w:jc w:val="left"/>
    </w:pPr>
    <w:rPr>
      <w:smallCaps/>
    </w:rPr>
  </w:style>
  <w:style w:type="paragraph" w:styleId="42">
    <w:name w:val="toc 2"/>
    <w:basedOn w:val="1"/>
    <w:next w:val="1"/>
    <w:autoRedefine/>
    <w:qFormat/>
    <w:uiPriority w:val="39"/>
    <w:pPr>
      <w:ind w:left="420" w:leftChars="200"/>
    </w:pPr>
  </w:style>
  <w:style w:type="paragraph" w:styleId="43">
    <w:name w:val="toc 9"/>
    <w:basedOn w:val="1"/>
    <w:next w:val="1"/>
    <w:autoRedefine/>
    <w:qFormat/>
    <w:uiPriority w:val="39"/>
    <w:pPr>
      <w:ind w:left="3360" w:leftChars="1600"/>
    </w:pPr>
  </w:style>
  <w:style w:type="paragraph" w:styleId="44">
    <w:name w:val="Body Text 2"/>
    <w:basedOn w:val="1"/>
    <w:autoRedefine/>
    <w:qFormat/>
    <w:uiPriority w:val="0"/>
    <w:pPr>
      <w:jc w:val="center"/>
    </w:pPr>
  </w:style>
  <w:style w:type="paragraph" w:styleId="45">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cs="宋体"/>
    </w:rPr>
  </w:style>
  <w:style w:type="paragraph" w:styleId="46">
    <w:name w:val="Normal (Web)"/>
    <w:basedOn w:val="1"/>
    <w:autoRedefine/>
    <w:qFormat/>
    <w:uiPriority w:val="0"/>
    <w:pPr>
      <w:widowControl/>
      <w:spacing w:beforeAutospacing="1" w:afterAutospacing="1"/>
      <w:jc w:val="left"/>
    </w:pPr>
    <w:rPr>
      <w:rFonts w:ascii="Arial Unicode MS" w:hAnsi="Arial Unicode MS" w:eastAsia="Arial Unicode MS"/>
    </w:rPr>
  </w:style>
  <w:style w:type="paragraph" w:styleId="47">
    <w:name w:val="Title"/>
    <w:basedOn w:val="1"/>
    <w:next w:val="1"/>
    <w:link w:val="312"/>
    <w:autoRedefine/>
    <w:qFormat/>
    <w:uiPriority w:val="0"/>
    <w:pPr>
      <w:jc w:val="center"/>
      <w:outlineLvl w:val="0"/>
    </w:pPr>
  </w:style>
  <w:style w:type="paragraph" w:styleId="48">
    <w:name w:val="annotation subject"/>
    <w:basedOn w:val="18"/>
    <w:next w:val="18"/>
    <w:autoRedefine/>
    <w:qFormat/>
    <w:uiPriority w:val="0"/>
    <w:rPr>
      <w:b/>
      <w:bCs/>
    </w:rPr>
  </w:style>
  <w:style w:type="paragraph" w:styleId="49">
    <w:name w:val="Body Text First Indent"/>
    <w:basedOn w:val="1"/>
    <w:next w:val="1"/>
    <w:autoRedefine/>
    <w:qFormat/>
    <w:uiPriority w:val="0"/>
    <w:pPr>
      <w:ind w:firstLine="420" w:firstLineChars="100"/>
    </w:pPr>
  </w:style>
  <w:style w:type="paragraph" w:styleId="50">
    <w:name w:val="Body Text First Indent 2"/>
    <w:basedOn w:val="23"/>
    <w:qFormat/>
    <w:uiPriority w:val="0"/>
    <w:pPr>
      <w:ind w:left="0" w:leftChars="0" w:firstLine="420"/>
    </w:pPr>
    <w:rPr>
      <w:rFonts w:ascii="宋体" w:hAnsi="宋体" w:cs="宋体"/>
    </w:rPr>
  </w:style>
  <w:style w:type="table" w:styleId="52">
    <w:name w:val="Table Grid"/>
    <w:basedOn w:val="51"/>
    <w:autoRedefine/>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4">
    <w:name w:val="Strong"/>
    <w:basedOn w:val="53"/>
    <w:autoRedefine/>
    <w:qFormat/>
    <w:uiPriority w:val="22"/>
    <w:rPr>
      <w:b/>
      <w:bCs/>
    </w:rPr>
  </w:style>
  <w:style w:type="character" w:styleId="55">
    <w:name w:val="page number"/>
    <w:basedOn w:val="53"/>
    <w:autoRedefine/>
    <w:qFormat/>
    <w:uiPriority w:val="0"/>
    <w:rPr>
      <w:rFonts w:hint="default" w:ascii="Times New Roman"/>
    </w:rPr>
  </w:style>
  <w:style w:type="character" w:styleId="56">
    <w:name w:val="FollowedHyperlink"/>
    <w:basedOn w:val="53"/>
    <w:autoRedefine/>
    <w:qFormat/>
    <w:uiPriority w:val="0"/>
    <w:rPr>
      <w:color w:val="000000"/>
      <w:u w:val="none"/>
    </w:rPr>
  </w:style>
  <w:style w:type="character" w:styleId="57">
    <w:name w:val="Emphasis"/>
    <w:basedOn w:val="53"/>
    <w:autoRedefine/>
    <w:qFormat/>
    <w:uiPriority w:val="0"/>
    <w:rPr>
      <w:i/>
      <w:iCs/>
    </w:rPr>
  </w:style>
  <w:style w:type="character" w:styleId="58">
    <w:name w:val="HTML Definition"/>
    <w:basedOn w:val="53"/>
    <w:autoRedefine/>
    <w:qFormat/>
    <w:uiPriority w:val="0"/>
  </w:style>
  <w:style w:type="character" w:styleId="59">
    <w:name w:val="HTML Variable"/>
    <w:basedOn w:val="53"/>
    <w:autoRedefine/>
    <w:qFormat/>
    <w:uiPriority w:val="0"/>
  </w:style>
  <w:style w:type="character" w:styleId="60">
    <w:name w:val="Hyperlink"/>
    <w:basedOn w:val="53"/>
    <w:autoRedefine/>
    <w:qFormat/>
    <w:uiPriority w:val="99"/>
    <w:rPr>
      <w:color w:val="000000"/>
      <w:u w:val="none"/>
    </w:rPr>
  </w:style>
  <w:style w:type="character" w:styleId="61">
    <w:name w:val="HTML Code"/>
    <w:basedOn w:val="53"/>
    <w:autoRedefine/>
    <w:qFormat/>
    <w:uiPriority w:val="0"/>
    <w:rPr>
      <w:rFonts w:hint="default" w:ascii="monospace" w:hAnsi="monospace" w:eastAsia="monospace" w:cs="monospace"/>
      <w:sz w:val="21"/>
      <w:szCs w:val="21"/>
    </w:rPr>
  </w:style>
  <w:style w:type="character" w:styleId="62">
    <w:name w:val="annotation reference"/>
    <w:autoRedefine/>
    <w:qFormat/>
    <w:uiPriority w:val="0"/>
    <w:rPr>
      <w:sz w:val="21"/>
      <w:szCs w:val="21"/>
    </w:rPr>
  </w:style>
  <w:style w:type="character" w:styleId="63">
    <w:name w:val="HTML Cite"/>
    <w:basedOn w:val="53"/>
    <w:autoRedefine/>
    <w:qFormat/>
    <w:uiPriority w:val="0"/>
    <w:rPr>
      <w:sz w:val="24"/>
      <w:szCs w:val="24"/>
    </w:rPr>
  </w:style>
  <w:style w:type="character" w:styleId="64">
    <w:name w:val="HTML Keyboard"/>
    <w:basedOn w:val="53"/>
    <w:autoRedefine/>
    <w:qFormat/>
    <w:uiPriority w:val="0"/>
    <w:rPr>
      <w:rFonts w:ascii="monospace" w:hAnsi="monospace" w:eastAsia="monospace" w:cs="monospace"/>
      <w:sz w:val="21"/>
      <w:szCs w:val="21"/>
    </w:rPr>
  </w:style>
  <w:style w:type="character" w:styleId="65">
    <w:name w:val="HTML Sample"/>
    <w:basedOn w:val="53"/>
    <w:autoRedefine/>
    <w:qFormat/>
    <w:uiPriority w:val="0"/>
    <w:rPr>
      <w:rFonts w:hint="default" w:ascii="monospace" w:hAnsi="monospace" w:eastAsia="monospace" w:cs="monospace"/>
      <w:sz w:val="21"/>
      <w:szCs w:val="21"/>
    </w:rPr>
  </w:style>
  <w:style w:type="paragraph" w:customStyle="1" w:styleId="66">
    <w:name w:val="明显引用1"/>
    <w:next w:val="1"/>
    <w:autoRedefine/>
    <w:qFormat/>
    <w:uiPriority w:val="0"/>
    <w:pPr>
      <w:wordWrap w:val="0"/>
      <w:ind w:left="950" w:right="950"/>
      <w:jc w:val="center"/>
    </w:pPr>
    <w:rPr>
      <w:rFonts w:ascii="Times New Roman" w:hAnsi="Times New Roman" w:eastAsia="宋体" w:cs="Times New Roman"/>
      <w:i/>
      <w:sz w:val="21"/>
      <w:lang w:val="en-US" w:eastAsia="zh-CN" w:bidi="ar-SA"/>
    </w:rPr>
  </w:style>
  <w:style w:type="paragraph" w:customStyle="1" w:styleId="67">
    <w:name w:val="表格"/>
    <w:basedOn w:val="1"/>
    <w:next w:val="1"/>
    <w:autoRedefine/>
    <w:qFormat/>
    <w:uiPriority w:val="0"/>
    <w:pPr>
      <w:adjustRightInd w:val="0"/>
      <w:spacing w:line="400" w:lineRule="exact"/>
      <w:jc w:val="center"/>
      <w:textAlignment w:val="baseline"/>
    </w:pPr>
  </w:style>
  <w:style w:type="paragraph" w:customStyle="1" w:styleId="68">
    <w:name w:val="Default"/>
    <w:basedOn w:val="69"/>
    <w:link w:val="349"/>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69">
    <w:name w:val="标题 段落4级"/>
    <w:autoRedefine/>
    <w:qFormat/>
    <w:uiPriority w:val="0"/>
    <w:pPr>
      <w:spacing w:line="500" w:lineRule="exact"/>
      <w:outlineLvl w:val="3"/>
    </w:pPr>
    <w:rPr>
      <w:rFonts w:ascii="Calibri" w:hAnsi="Calibri" w:eastAsia="仿宋_GB2312" w:cs="Calibri"/>
      <w:b/>
      <w:kern w:val="2"/>
      <w:sz w:val="28"/>
      <w:szCs w:val="24"/>
      <w:lang w:val="en-US" w:eastAsia="zh-CN" w:bidi="ar-SA"/>
    </w:rPr>
  </w:style>
  <w:style w:type="paragraph" w:customStyle="1" w:styleId="70">
    <w:name w:val="标题4"/>
    <w:basedOn w:val="6"/>
    <w:next w:val="71"/>
    <w:autoRedefine/>
    <w:qFormat/>
    <w:uiPriority w:val="0"/>
    <w:pPr>
      <w:adjustRightInd w:val="0"/>
      <w:spacing w:line="600" w:lineRule="exact"/>
    </w:pPr>
    <w:rPr>
      <w:rFonts w:ascii="Times New Roman" w:hAnsi="宋体" w:eastAsia="宋体"/>
    </w:rPr>
  </w:style>
  <w:style w:type="paragraph" w:customStyle="1" w:styleId="71">
    <w:name w:val="Char1"/>
    <w:basedOn w:val="1"/>
    <w:next w:val="72"/>
    <w:autoRedefine/>
    <w:qFormat/>
    <w:uiPriority w:val="0"/>
    <w:pPr>
      <w:widowControl/>
      <w:spacing w:after="160" w:line="240" w:lineRule="exact"/>
      <w:ind w:firstLine="3584"/>
    </w:pPr>
  </w:style>
  <w:style w:type="paragraph" w:customStyle="1" w:styleId="72">
    <w:name w:val="Char"/>
    <w:basedOn w:val="16"/>
    <w:autoRedefine/>
    <w:qFormat/>
    <w:uiPriority w:val="0"/>
    <w:pPr>
      <w:widowControl/>
      <w:adjustRightInd w:val="0"/>
      <w:spacing w:line="240" w:lineRule="exact"/>
      <w:jc w:val="left"/>
      <w:textAlignment w:val="baseline"/>
    </w:pPr>
    <w:rPr>
      <w:rFonts w:ascii="Arial" w:hAnsi="Arial" w:eastAsia="Times New Roman" w:cs="Verdana"/>
      <w:b/>
      <w:lang w:eastAsia="en-US"/>
    </w:rPr>
  </w:style>
  <w:style w:type="paragraph" w:customStyle="1" w:styleId="73">
    <w:name w:val="首行缩进加粗"/>
    <w:basedOn w:val="1"/>
    <w:next w:val="74"/>
    <w:autoRedefine/>
    <w:qFormat/>
    <w:uiPriority w:val="0"/>
    <w:pPr>
      <w:spacing w:line="360" w:lineRule="auto"/>
      <w:ind w:left="482" w:firstLine="4834"/>
    </w:pPr>
  </w:style>
  <w:style w:type="paragraph" w:customStyle="1" w:styleId="74">
    <w:name w:val="四级条标题"/>
    <w:basedOn w:val="75"/>
    <w:next w:val="5"/>
    <w:autoRedefine/>
    <w:qFormat/>
    <w:uiPriority w:val="0"/>
    <w:pPr>
      <w:tabs>
        <w:tab w:val="left" w:pos="360"/>
      </w:tabs>
      <w:ind w:left="0"/>
      <w:outlineLvl w:val="5"/>
    </w:pPr>
  </w:style>
  <w:style w:type="paragraph" w:customStyle="1" w:styleId="75">
    <w:name w:val="三级条标题"/>
    <w:basedOn w:val="76"/>
    <w:next w:val="1"/>
    <w:autoRedefine/>
    <w:qFormat/>
    <w:uiPriority w:val="0"/>
    <w:pPr>
      <w:tabs>
        <w:tab w:val="left" w:pos="360"/>
      </w:tabs>
      <w:ind w:left="1050"/>
      <w:outlineLvl w:val="4"/>
    </w:pPr>
  </w:style>
  <w:style w:type="paragraph" w:customStyle="1" w:styleId="76">
    <w:name w:val="二级条标题"/>
    <w:basedOn w:val="77"/>
    <w:next w:val="1"/>
    <w:autoRedefine/>
    <w:qFormat/>
    <w:uiPriority w:val="0"/>
    <w:pPr>
      <w:tabs>
        <w:tab w:val="left" w:pos="360"/>
      </w:tabs>
      <w:ind w:left="735"/>
      <w:outlineLvl w:val="3"/>
    </w:pPr>
  </w:style>
  <w:style w:type="paragraph" w:customStyle="1" w:styleId="77">
    <w:name w:val="一级条标题"/>
    <w:basedOn w:val="78"/>
    <w:next w:val="1"/>
    <w:autoRedefine/>
    <w:qFormat/>
    <w:uiPriority w:val="0"/>
    <w:pPr>
      <w:tabs>
        <w:tab w:val="left" w:pos="360"/>
      </w:tabs>
    </w:pPr>
  </w:style>
  <w:style w:type="paragraph" w:customStyle="1" w:styleId="78">
    <w:name w:val="章标题"/>
    <w:next w:val="1"/>
    <w:autoRedefine/>
    <w:qFormat/>
    <w:uiPriority w:val="0"/>
    <w:pPr>
      <w:tabs>
        <w:tab w:val="left" w:pos="360"/>
      </w:tabs>
      <w:spacing w:beforeLines="50" w:afterLines="50"/>
      <w:jc w:val="both"/>
      <w:outlineLvl w:val="1"/>
    </w:pPr>
    <w:rPr>
      <w:rFonts w:ascii="黑体" w:hAnsi="Times New Roman" w:eastAsia="黑体" w:cs="Times New Roman"/>
      <w:sz w:val="21"/>
      <w:lang w:val="en-US" w:eastAsia="zh-CN" w:bidi="ar-SA"/>
    </w:rPr>
  </w:style>
  <w:style w:type="paragraph" w:customStyle="1" w:styleId="79">
    <w:name w:val="Char11"/>
    <w:basedOn w:val="1"/>
    <w:next w:val="80"/>
    <w:autoRedefine/>
    <w:qFormat/>
    <w:uiPriority w:val="0"/>
    <w:pPr>
      <w:widowControl/>
      <w:spacing w:after="160" w:line="240" w:lineRule="exact"/>
      <w:ind w:firstLine="3584"/>
    </w:pPr>
  </w:style>
  <w:style w:type="paragraph" w:customStyle="1" w:styleId="80">
    <w:name w:val="Char2"/>
    <w:basedOn w:val="16"/>
    <w:next w:val="73"/>
    <w:autoRedefine/>
    <w:qFormat/>
    <w:uiPriority w:val="0"/>
    <w:rPr>
      <w:szCs w:val="21"/>
    </w:rPr>
  </w:style>
  <w:style w:type="character" w:customStyle="1" w:styleId="81">
    <w:name w:val="标题 3 Char"/>
    <w:link w:val="5"/>
    <w:autoRedefine/>
    <w:qFormat/>
    <w:uiPriority w:val="0"/>
    <w:rPr>
      <w:rFonts w:ascii="黑体" w:hAnsi="黑体" w:eastAsia="黑体"/>
      <w:b/>
      <w:bCs/>
      <w:snapToGrid w:val="0"/>
      <w:sz w:val="28"/>
      <w:szCs w:val="28"/>
    </w:rPr>
  </w:style>
  <w:style w:type="paragraph" w:customStyle="1" w:styleId="82">
    <w:name w:val="默认段落字体 Para Char Char Char Char Char Char Char Char Char1 Char Char Char Char Char Char Char"/>
    <w:basedOn w:val="1"/>
    <w:autoRedefine/>
    <w:qFormat/>
    <w:uiPriority w:val="0"/>
    <w:pPr>
      <w:shd w:val="clear" w:color="auto" w:fill="000080"/>
      <w:snapToGrid w:val="0"/>
    </w:pPr>
    <w:rPr>
      <w:rFonts w:ascii="Times New Roman"/>
      <w:kern w:val="2"/>
      <w:sz w:val="21"/>
      <w:szCs w:val="24"/>
      <w:shd w:val="clear" w:color="auto" w:fill="000080"/>
    </w:rPr>
  </w:style>
  <w:style w:type="paragraph" w:customStyle="1" w:styleId="83">
    <w:name w:val="xl74"/>
    <w:basedOn w:val="1"/>
    <w:autoRedefine/>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Ansi="宋体"/>
    </w:rPr>
  </w:style>
  <w:style w:type="paragraph" w:customStyle="1" w:styleId="84">
    <w:name w:val="正文文本缩进 21"/>
    <w:basedOn w:val="1"/>
    <w:autoRedefine/>
    <w:qFormat/>
    <w:uiPriority w:val="0"/>
    <w:pPr>
      <w:widowControl/>
      <w:adjustRightInd w:val="0"/>
      <w:spacing w:line="360" w:lineRule="auto"/>
      <w:ind w:right="-1" w:firstLine="600"/>
      <w:jc w:val="left"/>
      <w:textAlignment w:val="baseline"/>
    </w:pPr>
    <w:rPr>
      <w:spacing w:val="8"/>
    </w:rPr>
  </w:style>
  <w:style w:type="paragraph" w:customStyle="1" w:styleId="85">
    <w:name w:val="样式 样式 四号 行距: 1.5 倍行距 首行缩进:  2 字符 + 首行缩进:  2 字符"/>
    <w:basedOn w:val="86"/>
    <w:autoRedefine/>
    <w:qFormat/>
    <w:uiPriority w:val="0"/>
    <w:pPr>
      <w:ind w:firstLine="560"/>
    </w:pPr>
  </w:style>
  <w:style w:type="paragraph" w:customStyle="1" w:styleId="86">
    <w:name w:val="样式 四号 行距: 1.5 倍行距 首行缩进:  2 字符"/>
    <w:basedOn w:val="1"/>
    <w:autoRedefine/>
    <w:qFormat/>
    <w:uiPriority w:val="0"/>
    <w:pPr>
      <w:ind w:firstLine="200" w:firstLineChars="200"/>
    </w:pPr>
    <w:rPr>
      <w:rFonts w:eastAsia="仿宋_GB2312" w:cs="宋体"/>
      <w:sz w:val="28"/>
    </w:rPr>
  </w:style>
  <w:style w:type="paragraph" w:customStyle="1" w:styleId="87">
    <w:name w:val="样式 样式 首行缩进:  0.8厘米 + 右侧:  2 字符"/>
    <w:basedOn w:val="88"/>
    <w:link w:val="273"/>
    <w:autoRedefine/>
    <w:qFormat/>
    <w:uiPriority w:val="0"/>
    <w:pPr>
      <w:ind w:left="200" w:leftChars="200" w:right="0" w:rightChars="0"/>
    </w:pPr>
  </w:style>
  <w:style w:type="paragraph" w:customStyle="1" w:styleId="88">
    <w:name w:val="样式 首行缩进:  0.8厘米"/>
    <w:basedOn w:val="1"/>
    <w:link w:val="274"/>
    <w:autoRedefine/>
    <w:qFormat/>
    <w:uiPriority w:val="0"/>
    <w:pPr>
      <w:spacing w:line="360" w:lineRule="auto"/>
      <w:ind w:right="200" w:rightChars="200"/>
    </w:pPr>
    <w:rPr>
      <w:snapToGrid w:val="0"/>
    </w:rPr>
  </w:style>
  <w:style w:type="paragraph" w:customStyle="1" w:styleId="89">
    <w:name w:val="Plain Text1"/>
    <w:basedOn w:val="1"/>
    <w:autoRedefine/>
    <w:qFormat/>
    <w:uiPriority w:val="0"/>
    <w:pPr>
      <w:adjustRightInd w:val="0"/>
      <w:jc w:val="left"/>
      <w:textAlignment w:val="baseline"/>
    </w:pPr>
    <w:rPr>
      <w:rFonts w:hAnsi="Courier New"/>
    </w:rPr>
  </w:style>
  <w:style w:type="paragraph" w:customStyle="1" w:styleId="90">
    <w:name w:val="Char Char5 Char Char"/>
    <w:basedOn w:val="1"/>
    <w:autoRedefine/>
    <w:qFormat/>
    <w:uiPriority w:val="0"/>
  </w:style>
  <w:style w:type="paragraph" w:customStyle="1" w:styleId="91">
    <w:name w:val="xl51"/>
    <w:basedOn w:val="1"/>
    <w:autoRedefine/>
    <w:qFormat/>
    <w:uiPriority w:val="0"/>
    <w:pPr>
      <w:widowControl/>
      <w:pBdr>
        <w:left w:val="single" w:color="auto" w:sz="8" w:space="0"/>
        <w:bottom w:val="single" w:color="auto" w:sz="4" w:space="0"/>
        <w:right w:val="single" w:color="auto" w:sz="4" w:space="0"/>
      </w:pBdr>
      <w:spacing w:beforeAutospacing="1" w:afterAutospacing="1"/>
      <w:jc w:val="center"/>
      <w:textAlignment w:val="center"/>
    </w:pPr>
    <w:rPr>
      <w:rFonts w:hAnsi="宋体"/>
    </w:rPr>
  </w:style>
  <w:style w:type="paragraph" w:customStyle="1" w:styleId="92">
    <w:name w:val="样式6"/>
    <w:basedOn w:val="5"/>
    <w:autoRedefine/>
    <w:qFormat/>
    <w:uiPriority w:val="0"/>
    <w:pPr>
      <w:keepNext w:val="0"/>
      <w:keepLines w:val="0"/>
      <w:spacing w:beforeAutospacing="1" w:afterAutospacing="1"/>
      <w:ind w:firstLine="562" w:firstLineChars="200"/>
    </w:pPr>
  </w:style>
  <w:style w:type="paragraph" w:customStyle="1" w:styleId="93">
    <w:name w:val="二级标题"/>
    <w:basedOn w:val="1"/>
    <w:next w:val="1"/>
    <w:autoRedefine/>
    <w:qFormat/>
    <w:uiPriority w:val="0"/>
    <w:pPr>
      <w:keepNext/>
      <w:adjustRightInd w:val="0"/>
      <w:spacing w:line="312" w:lineRule="atLeast"/>
      <w:jc w:val="center"/>
      <w:textAlignment w:val="baseline"/>
    </w:pPr>
    <w:rPr>
      <w:sz w:val="28"/>
    </w:rPr>
  </w:style>
  <w:style w:type="paragraph" w:customStyle="1" w:styleId="94">
    <w:name w:val="表格标题01"/>
    <w:basedOn w:val="1"/>
    <w:autoRedefine/>
    <w:qFormat/>
    <w:uiPriority w:val="0"/>
    <w:pPr>
      <w:adjustRightInd w:val="0"/>
      <w:spacing w:line="480" w:lineRule="exact"/>
      <w:jc w:val="center"/>
      <w:textAlignment w:val="baseline"/>
    </w:pPr>
    <w:rPr>
      <w:snapToGrid w:val="0"/>
      <w:sz w:val="28"/>
      <w:szCs w:val="28"/>
    </w:rPr>
  </w:style>
  <w:style w:type="paragraph" w:customStyle="1" w:styleId="95">
    <w:name w:val="样式 四号 首行缩进:  0.05 厘米 行距: 1.5 倍行距"/>
    <w:basedOn w:val="1"/>
    <w:autoRedefine/>
    <w:qFormat/>
    <w:uiPriority w:val="0"/>
    <w:pPr>
      <w:spacing w:line="360" w:lineRule="auto"/>
      <w:ind w:firstLine="28"/>
    </w:pPr>
  </w:style>
  <w:style w:type="paragraph" w:customStyle="1" w:styleId="96">
    <w:name w:val="xl83"/>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textAlignment w:val="center"/>
    </w:pPr>
    <w:rPr>
      <w:rFonts w:hAnsi="宋体"/>
    </w:rPr>
  </w:style>
  <w:style w:type="paragraph" w:customStyle="1" w:styleId="97">
    <w:name w:val="font9"/>
    <w:basedOn w:val="1"/>
    <w:autoRedefine/>
    <w:qFormat/>
    <w:uiPriority w:val="0"/>
    <w:pPr>
      <w:widowControl/>
      <w:spacing w:beforeAutospacing="1" w:afterAutospacing="1"/>
      <w:jc w:val="left"/>
    </w:pPr>
    <w:rPr>
      <w:rFonts w:eastAsia="Arial Unicode MS"/>
      <w:color w:val="0000FF"/>
    </w:rPr>
  </w:style>
  <w:style w:type="paragraph" w:customStyle="1" w:styleId="98">
    <w:name w:val="font13"/>
    <w:basedOn w:val="1"/>
    <w:autoRedefine/>
    <w:qFormat/>
    <w:uiPriority w:val="0"/>
    <w:pPr>
      <w:widowControl/>
      <w:spacing w:beforeAutospacing="1" w:afterAutospacing="1"/>
      <w:jc w:val="left"/>
    </w:pPr>
    <w:rPr>
      <w:rFonts w:eastAsia="Arial Unicode MS"/>
      <w:b/>
      <w:bCs/>
      <w:color w:val="0000FF"/>
      <w:sz w:val="48"/>
      <w:szCs w:val="48"/>
    </w:rPr>
  </w:style>
  <w:style w:type="paragraph" w:customStyle="1" w:styleId="99">
    <w:name w:val="xl62"/>
    <w:basedOn w:val="1"/>
    <w:autoRedefine/>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100">
    <w:name w:val="正文3"/>
    <w:basedOn w:val="1"/>
    <w:link w:val="283"/>
    <w:autoRedefine/>
    <w:qFormat/>
    <w:uiPriority w:val="0"/>
    <w:pPr>
      <w:spacing w:line="500" w:lineRule="exact"/>
      <w:ind w:firstLine="560" w:firstLineChars="200"/>
    </w:pPr>
    <w:rPr>
      <w:rFonts w:cs="宋体"/>
      <w:kern w:val="2"/>
      <w:sz w:val="28"/>
      <w:szCs w:val="28"/>
    </w:rPr>
  </w:style>
  <w:style w:type="paragraph" w:customStyle="1" w:styleId="101">
    <w:name w:val="样式 四号 行距: 1.5 倍行距1"/>
    <w:basedOn w:val="1"/>
    <w:autoRedefine/>
    <w:qFormat/>
    <w:uiPriority w:val="0"/>
    <w:pPr>
      <w:spacing w:line="360" w:lineRule="auto"/>
    </w:pPr>
  </w:style>
  <w:style w:type="paragraph" w:customStyle="1" w:styleId="102">
    <w:name w:val="样式 样式 四号 行距: 1.5 倍行距 + 首行缩进:  2 字符"/>
    <w:basedOn w:val="1"/>
    <w:autoRedefine/>
    <w:qFormat/>
    <w:uiPriority w:val="0"/>
    <w:pPr>
      <w:spacing w:line="360" w:lineRule="auto"/>
      <w:ind w:firstLine="480" w:firstLineChars="200"/>
    </w:pPr>
  </w:style>
  <w:style w:type="paragraph" w:customStyle="1" w:styleId="103">
    <w:name w:val="font8"/>
    <w:basedOn w:val="1"/>
    <w:autoRedefine/>
    <w:qFormat/>
    <w:uiPriority w:val="0"/>
    <w:pPr>
      <w:widowControl/>
      <w:spacing w:beforeAutospacing="1" w:afterAutospacing="1"/>
      <w:jc w:val="left"/>
    </w:pPr>
    <w:rPr>
      <w:rFonts w:hint="eastAsia" w:hAnsi="宋体"/>
      <w:color w:val="0000FF"/>
      <w:sz w:val="20"/>
    </w:rPr>
  </w:style>
  <w:style w:type="paragraph" w:customStyle="1" w:styleId="104">
    <w:name w:val="标准"/>
    <w:basedOn w:val="1"/>
    <w:autoRedefine/>
    <w:qFormat/>
    <w:uiPriority w:val="0"/>
    <w:pPr>
      <w:adjustRightInd w:val="0"/>
      <w:spacing w:line="480" w:lineRule="exact"/>
      <w:ind w:firstLine="570"/>
      <w:textAlignment w:val="baseline"/>
    </w:pPr>
    <w:rPr>
      <w:spacing w:val="-4"/>
      <w:sz w:val="28"/>
    </w:rPr>
  </w:style>
  <w:style w:type="paragraph" w:customStyle="1" w:styleId="105">
    <w:name w:val="样式8"/>
    <w:basedOn w:val="1"/>
    <w:autoRedefine/>
    <w:qFormat/>
    <w:uiPriority w:val="0"/>
    <w:pPr>
      <w:spacing w:line="500" w:lineRule="exact"/>
      <w:ind w:firstLine="560" w:firstLineChars="200"/>
    </w:pPr>
    <w:rPr>
      <w:rFonts w:hAnsi="宋体" w:cs="宋体"/>
      <w:color w:val="000000"/>
      <w:sz w:val="28"/>
      <w:szCs w:val="28"/>
    </w:rPr>
  </w:style>
  <w:style w:type="paragraph" w:customStyle="1" w:styleId="106">
    <w:name w:val="Char Char Char Char Char Char Char Char Char Char Char Char Char Char Char Char Char Char1 Char Char Char Char Char Char Char Char Char Char Char Char Char Char Char Char Char Char Char Char Char Char Char Char Char"/>
    <w:basedOn w:val="1"/>
    <w:autoRedefine/>
    <w:qFormat/>
    <w:uiPriority w:val="0"/>
  </w:style>
  <w:style w:type="paragraph" w:customStyle="1" w:styleId="107">
    <w:name w:val="xl81"/>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textAlignment w:val="center"/>
    </w:pPr>
    <w:rPr>
      <w:rFonts w:hint="eastAsia" w:hAnsi="宋体"/>
    </w:rPr>
  </w:style>
  <w:style w:type="paragraph" w:customStyle="1" w:styleId="108">
    <w:name w:val="样式 四号 行距: 1.5 倍行距9"/>
    <w:basedOn w:val="1"/>
    <w:autoRedefine/>
    <w:qFormat/>
    <w:uiPriority w:val="0"/>
    <w:pPr>
      <w:spacing w:line="360" w:lineRule="auto"/>
      <w:ind w:left="-27" w:leftChars="-13" w:firstLine="560" w:firstLineChars="200"/>
    </w:pPr>
  </w:style>
  <w:style w:type="paragraph" w:customStyle="1" w:styleId="109">
    <w:name w:val="正文文本 31"/>
    <w:basedOn w:val="1"/>
    <w:autoRedefine/>
    <w:qFormat/>
    <w:uiPriority w:val="0"/>
    <w:pPr>
      <w:widowControl/>
      <w:adjustRightInd w:val="0"/>
      <w:ind w:right="57"/>
      <w:jc w:val="left"/>
      <w:textAlignment w:val="baseline"/>
    </w:pPr>
    <w:rPr>
      <w:spacing w:val="8"/>
    </w:rPr>
  </w:style>
  <w:style w:type="paragraph" w:customStyle="1" w:styleId="110">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eastAsia="Arial Unicode MS"/>
      <w:color w:val="0000FF"/>
      <w:sz w:val="20"/>
    </w:rPr>
  </w:style>
  <w:style w:type="paragraph" w:customStyle="1" w:styleId="111">
    <w:name w:val="说明书标题"/>
    <w:basedOn w:val="112"/>
    <w:next w:val="112"/>
    <w:autoRedefine/>
    <w:qFormat/>
    <w:uiPriority w:val="0"/>
    <w:pPr>
      <w:tabs>
        <w:tab w:val="left" w:pos="210"/>
        <w:tab w:val="left" w:pos="360"/>
      </w:tabs>
      <w:ind w:left="227" w:hanging="227" w:firstLineChars="0"/>
    </w:pPr>
    <w:rPr>
      <w:rFonts w:eastAsia="黑体"/>
    </w:rPr>
  </w:style>
  <w:style w:type="paragraph" w:customStyle="1" w:styleId="112">
    <w:name w:val="说明书正文"/>
    <w:basedOn w:val="1"/>
    <w:autoRedefine/>
    <w:qFormat/>
    <w:uiPriority w:val="0"/>
    <w:pPr>
      <w:spacing w:line="520" w:lineRule="exact"/>
      <w:ind w:firstLine="200" w:firstLineChars="200"/>
    </w:pPr>
    <w:rPr>
      <w:rFonts w:ascii="Trebuchet MS" w:hAnsi="Trebuchet MS"/>
      <w:sz w:val="28"/>
    </w:rPr>
  </w:style>
  <w:style w:type="paragraph" w:customStyle="1" w:styleId="113">
    <w:name w:val="一级标题"/>
    <w:basedOn w:val="1"/>
    <w:autoRedefine/>
    <w:qFormat/>
    <w:uiPriority w:val="0"/>
    <w:pPr>
      <w:spacing w:line="360" w:lineRule="auto"/>
      <w:ind w:right="8" w:rightChars="8"/>
      <w:outlineLvl w:val="0"/>
    </w:pPr>
    <w:rPr>
      <w:b/>
      <w:snapToGrid w:val="0"/>
      <w:sz w:val="32"/>
    </w:rPr>
  </w:style>
  <w:style w:type="paragraph" w:customStyle="1" w:styleId="114">
    <w:name w:val="xl29"/>
    <w:basedOn w:val="1"/>
    <w:autoRedefine/>
    <w:qFormat/>
    <w:uiPriority w:val="0"/>
    <w:pPr>
      <w:widowControl/>
      <w:jc w:val="center"/>
    </w:pPr>
  </w:style>
  <w:style w:type="paragraph" w:customStyle="1" w:styleId="115">
    <w:name w:val="样式 四号 黑色 行距: 1.5 倍行距3"/>
    <w:basedOn w:val="1"/>
    <w:autoRedefine/>
    <w:qFormat/>
    <w:uiPriority w:val="0"/>
    <w:pPr>
      <w:spacing w:line="360" w:lineRule="auto"/>
      <w:ind w:firstLine="479" w:firstLineChars="171"/>
    </w:pPr>
    <w:rPr>
      <w:color w:val="000000"/>
    </w:rPr>
  </w:style>
  <w:style w:type="paragraph" w:customStyle="1" w:styleId="116">
    <w:name w:val="xl35"/>
    <w:basedOn w:val="1"/>
    <w:autoRedefine/>
    <w:qFormat/>
    <w:uiPriority w:val="0"/>
    <w:pPr>
      <w:widowControl/>
      <w:pBdr>
        <w:top w:val="single" w:color="auto" w:sz="4" w:space="0"/>
        <w:left w:val="single" w:color="auto" w:sz="4" w:space="20"/>
        <w:bottom w:val="single" w:color="auto" w:sz="4" w:space="0"/>
        <w:right w:val="single" w:color="auto" w:sz="4" w:space="0"/>
      </w:pBdr>
      <w:spacing w:beforeAutospacing="1" w:afterAutospacing="1"/>
      <w:ind w:firstLine="100" w:firstLineChars="100"/>
      <w:jc w:val="left"/>
      <w:textAlignment w:val="center"/>
    </w:pPr>
    <w:rPr>
      <w:rFonts w:eastAsia="Arial Unicode MS"/>
      <w:color w:val="0000FF"/>
      <w:sz w:val="20"/>
    </w:rPr>
  </w:style>
  <w:style w:type="paragraph" w:customStyle="1" w:styleId="117">
    <w:name w:val="xl28"/>
    <w:basedOn w:val="1"/>
    <w:autoRedefine/>
    <w:qFormat/>
    <w:uiPriority w:val="0"/>
    <w:pPr>
      <w:widowControl/>
      <w:spacing w:beforeAutospacing="1" w:afterAutospacing="1"/>
      <w:ind w:firstLine="100" w:firstLineChars="100"/>
      <w:jc w:val="left"/>
      <w:textAlignment w:val="center"/>
    </w:pPr>
    <w:rPr>
      <w:rFonts w:ascii="Arial Unicode MS" w:hAnsi="Arial Unicode MS" w:eastAsia="Arial Unicode MS"/>
      <w:b/>
      <w:bCs/>
      <w:color w:val="0000FF"/>
      <w:sz w:val="20"/>
    </w:rPr>
  </w:style>
  <w:style w:type="paragraph" w:customStyle="1" w:styleId="118">
    <w:name w:val="xl59"/>
    <w:basedOn w:val="1"/>
    <w:autoRedefine/>
    <w:qFormat/>
    <w:uiPriority w:val="0"/>
    <w:pPr>
      <w:widowControl/>
      <w:pBdr>
        <w:left w:val="single" w:color="auto" w:sz="4" w:space="0"/>
        <w:bottom w:val="single" w:color="auto" w:sz="4" w:space="0"/>
        <w:right w:val="single" w:color="auto" w:sz="8" w:space="0"/>
      </w:pBdr>
      <w:spacing w:beforeAutospacing="1" w:afterAutospacing="1"/>
      <w:jc w:val="left"/>
      <w:textAlignment w:val="center"/>
    </w:pPr>
    <w:rPr>
      <w:rFonts w:hAnsi="宋体"/>
    </w:rPr>
  </w:style>
  <w:style w:type="paragraph" w:customStyle="1" w:styleId="119">
    <w:name w:val="xl77"/>
    <w:basedOn w:val="1"/>
    <w:autoRedefine/>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20">
    <w:name w:val="font12"/>
    <w:basedOn w:val="1"/>
    <w:autoRedefine/>
    <w:qFormat/>
    <w:uiPriority w:val="0"/>
    <w:pPr>
      <w:widowControl/>
      <w:spacing w:beforeAutospacing="1" w:afterAutospacing="1"/>
      <w:jc w:val="left"/>
    </w:pPr>
    <w:rPr>
      <w:rFonts w:hint="eastAsia" w:hAnsi="宋体"/>
      <w:color w:val="0000FF"/>
      <w:sz w:val="20"/>
    </w:rPr>
  </w:style>
  <w:style w:type="paragraph" w:customStyle="1" w:styleId="121">
    <w:name w:val="xl44"/>
    <w:basedOn w:val="1"/>
    <w:autoRedefine/>
    <w:qFormat/>
    <w:uiPriority w:val="0"/>
    <w:pPr>
      <w:widowControl/>
      <w:pBdr>
        <w:top w:val="single" w:color="auto" w:sz="4" w:space="0"/>
        <w:left w:val="single" w:color="auto" w:sz="4" w:space="0"/>
        <w:bottom w:val="single" w:color="auto" w:sz="8" w:space="0"/>
        <w:right w:val="single" w:color="auto" w:sz="8" w:space="0"/>
      </w:pBdr>
      <w:spacing w:beforeAutospacing="1" w:afterAutospacing="1"/>
      <w:jc w:val="center"/>
      <w:textAlignment w:val="center"/>
    </w:pPr>
    <w:rPr>
      <w:rFonts w:hint="eastAsia" w:hAnsi="宋体"/>
    </w:rPr>
  </w:style>
  <w:style w:type="paragraph" w:customStyle="1" w:styleId="122">
    <w:name w:val="Char2 Char Char Char Char Char Char"/>
    <w:basedOn w:val="1"/>
    <w:autoRedefine/>
    <w:qFormat/>
    <w:uiPriority w:val="0"/>
    <w:pPr>
      <w:autoSpaceDE w:val="0"/>
      <w:autoSpaceDN w:val="0"/>
      <w:adjustRightInd w:val="0"/>
      <w:snapToGrid w:val="0"/>
      <w:spacing w:line="360" w:lineRule="auto"/>
      <w:ind w:firstLine="560" w:firstLineChars="200"/>
    </w:pPr>
    <w:rPr>
      <w:rFonts w:eastAsia="仿宋_GB2312"/>
      <w:color w:val="000000"/>
    </w:rPr>
  </w:style>
  <w:style w:type="paragraph" w:customStyle="1" w:styleId="123">
    <w:name w:val="xl89"/>
    <w:basedOn w:val="1"/>
    <w:autoRedefine/>
    <w:qFormat/>
    <w:uiPriority w:val="0"/>
    <w:pPr>
      <w:widowControl/>
      <w:spacing w:beforeAutospacing="1" w:afterAutospacing="1"/>
      <w:jc w:val="center"/>
      <w:textAlignment w:val="top"/>
    </w:pPr>
    <w:rPr>
      <w:rFonts w:hint="eastAsia" w:hAnsi="宋体"/>
      <w:b/>
      <w:bCs/>
      <w:sz w:val="32"/>
      <w:szCs w:val="32"/>
    </w:rPr>
  </w:style>
  <w:style w:type="paragraph" w:customStyle="1" w:styleId="124">
    <w:name w:val="xl85"/>
    <w:basedOn w:val="1"/>
    <w:autoRedefine/>
    <w:qFormat/>
    <w:uiPriority w:val="0"/>
    <w:pPr>
      <w:widowControl/>
      <w:pBdr>
        <w:left w:val="single" w:color="auto" w:sz="4" w:space="0"/>
        <w:right w:val="single" w:color="auto" w:sz="4" w:space="0"/>
      </w:pBdr>
      <w:spacing w:beforeAutospacing="1" w:afterAutospacing="1"/>
      <w:jc w:val="left"/>
      <w:textAlignment w:val="center"/>
    </w:pPr>
    <w:rPr>
      <w:rFonts w:hAnsi="宋体"/>
    </w:rPr>
  </w:style>
  <w:style w:type="paragraph" w:customStyle="1" w:styleId="125">
    <w:name w:val="默认段落字体 Para Char Char Char1 Char Char Char Char"/>
    <w:basedOn w:val="1"/>
    <w:autoRedefine/>
    <w:qFormat/>
    <w:uiPriority w:val="0"/>
  </w:style>
  <w:style w:type="paragraph" w:customStyle="1" w:styleId="126">
    <w:name w:val="xl55"/>
    <w:basedOn w:val="1"/>
    <w:autoRedefine/>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hAnsi="宋体"/>
    </w:rPr>
  </w:style>
  <w:style w:type="paragraph" w:customStyle="1" w:styleId="127">
    <w:name w:val="Char Char Char Char Char Char Char Char Char Char"/>
    <w:basedOn w:val="1"/>
    <w:autoRedefine/>
    <w:qFormat/>
    <w:uiPriority w:val="0"/>
  </w:style>
  <w:style w:type="paragraph" w:customStyle="1" w:styleId="128">
    <w:name w:val="xl42"/>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left"/>
    </w:pPr>
    <w:rPr>
      <w:rFonts w:hint="eastAsia" w:hAnsi="宋体"/>
    </w:rPr>
  </w:style>
  <w:style w:type="paragraph" w:customStyle="1" w:styleId="129">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eastAsia="Arial Unicode MS"/>
      <w:color w:val="0000FF"/>
      <w:sz w:val="20"/>
    </w:rPr>
  </w:style>
  <w:style w:type="paragraph" w:customStyle="1" w:styleId="130">
    <w:name w:val="图片"/>
    <w:basedOn w:val="1"/>
    <w:autoRedefine/>
    <w:qFormat/>
    <w:uiPriority w:val="0"/>
    <w:pPr>
      <w:jc w:val="center"/>
    </w:pPr>
    <w:rPr>
      <w:sz w:val="28"/>
      <w:szCs w:val="28"/>
    </w:rPr>
  </w:style>
  <w:style w:type="paragraph" w:customStyle="1" w:styleId="131">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eastAsia="Arial Unicode MS"/>
      <w:color w:val="0000FF"/>
      <w:sz w:val="20"/>
    </w:rPr>
  </w:style>
  <w:style w:type="paragraph" w:customStyle="1" w:styleId="132">
    <w:name w:val="页眉 New New New New New"/>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customStyle="1" w:styleId="133">
    <w:name w:val="样式 四号 首行缩进:  0.95 厘米 右侧:  0.04 厘米 行距: 1.5 倍行距"/>
    <w:basedOn w:val="1"/>
    <w:autoRedefine/>
    <w:qFormat/>
    <w:uiPriority w:val="0"/>
    <w:pPr>
      <w:spacing w:line="360" w:lineRule="auto"/>
      <w:ind w:right="25" w:firstLine="538"/>
    </w:pPr>
  </w:style>
  <w:style w:type="paragraph" w:customStyle="1" w:styleId="134">
    <w:name w:val="样式 正文缩进 + 居中 首行缩进:  0 厘米"/>
    <w:basedOn w:val="9"/>
    <w:autoRedefine/>
    <w:qFormat/>
    <w:uiPriority w:val="0"/>
    <w:pPr>
      <w:spacing w:beforeLines="30"/>
      <w:ind w:firstLine="0" w:firstLineChars="0"/>
      <w:jc w:val="center"/>
    </w:pPr>
    <w:rPr>
      <w:szCs w:val="20"/>
    </w:rPr>
  </w:style>
  <w:style w:type="paragraph" w:customStyle="1" w:styleId="135">
    <w:name w:val="xl31"/>
    <w:basedOn w:val="1"/>
    <w:autoRedefine/>
    <w:qFormat/>
    <w:uiPriority w:val="0"/>
    <w:pPr>
      <w:widowControl/>
      <w:pBdr>
        <w:top w:val="single" w:color="auto" w:sz="4" w:space="0"/>
        <w:left w:val="single" w:color="auto" w:sz="4" w:space="20"/>
        <w:bottom w:val="single" w:color="auto" w:sz="4" w:space="0"/>
        <w:right w:val="single" w:color="auto" w:sz="4" w:space="0"/>
      </w:pBdr>
      <w:spacing w:beforeAutospacing="1" w:afterAutospacing="1"/>
      <w:ind w:firstLine="100" w:firstLineChars="100"/>
      <w:jc w:val="left"/>
      <w:textAlignment w:val="center"/>
    </w:pPr>
    <w:rPr>
      <w:rFonts w:ascii="Arial Unicode MS" w:hAnsi="Arial Unicode MS" w:eastAsia="Arial Unicode MS"/>
      <w:color w:val="0000FF"/>
    </w:rPr>
  </w:style>
  <w:style w:type="paragraph" w:customStyle="1" w:styleId="136">
    <w:name w:val="样式 四号 行距: 固定值 25 磅"/>
    <w:basedOn w:val="1"/>
    <w:autoRedefine/>
    <w:qFormat/>
    <w:uiPriority w:val="0"/>
    <w:pPr>
      <w:spacing w:line="500" w:lineRule="exact"/>
    </w:pPr>
  </w:style>
  <w:style w:type="paragraph" w:customStyle="1" w:styleId="137">
    <w:name w:val="节标题1"/>
    <w:basedOn w:val="1"/>
    <w:autoRedefine/>
    <w:qFormat/>
    <w:uiPriority w:val="0"/>
    <w:pPr>
      <w:spacing w:line="700" w:lineRule="exact"/>
      <w:outlineLvl w:val="2"/>
    </w:pPr>
    <w:rPr>
      <w:rFonts w:ascii="Arial" w:hAnsi="Arial" w:eastAsia="仿宋_GB2312"/>
      <w:b/>
      <w:sz w:val="28"/>
    </w:rPr>
  </w:style>
  <w:style w:type="paragraph" w:customStyle="1" w:styleId="138">
    <w:name w:val="样式 正文首行缩进正文首行缩进 Char + 段前: 0.5 行"/>
    <w:basedOn w:val="49"/>
    <w:autoRedefine/>
    <w:qFormat/>
    <w:uiPriority w:val="0"/>
    <w:pPr>
      <w:spacing w:beforeLines="50"/>
      <w:ind w:firstLine="567" w:firstLineChars="0"/>
    </w:pPr>
    <w:rPr>
      <w:rFonts w:cs="宋体"/>
      <w:sz w:val="24"/>
      <w:szCs w:val="20"/>
    </w:rPr>
  </w:style>
  <w:style w:type="paragraph" w:customStyle="1" w:styleId="139">
    <w:name w:val="表格标题"/>
    <w:basedOn w:val="1"/>
    <w:next w:val="1"/>
    <w:autoRedefine/>
    <w:qFormat/>
    <w:uiPriority w:val="0"/>
    <w:pPr>
      <w:keepNext/>
      <w:widowControl/>
      <w:overflowPunct w:val="0"/>
      <w:adjustRightInd w:val="0"/>
      <w:snapToGrid w:val="0"/>
      <w:spacing w:line="480" w:lineRule="exact"/>
      <w:jc w:val="center"/>
      <w:textAlignment w:val="baseline"/>
    </w:pPr>
    <w:rPr>
      <w:rFonts w:ascii="Arial" w:hAnsi="Arial" w:eastAsia="黑体"/>
    </w:rPr>
  </w:style>
  <w:style w:type="paragraph" w:customStyle="1" w:styleId="140">
    <w:name w:val="BIG BOLD"/>
    <w:basedOn w:val="1"/>
    <w:autoRedefine/>
    <w:qFormat/>
    <w:uiPriority w:val="0"/>
    <w:pPr>
      <w:tabs>
        <w:tab w:val="left" w:leader="underscore" w:pos="1134"/>
      </w:tabs>
    </w:pPr>
  </w:style>
  <w:style w:type="paragraph" w:customStyle="1" w:styleId="141">
    <w:name w:val="样式 四号 黑色 行距: 1.5 倍行距"/>
    <w:basedOn w:val="1"/>
    <w:autoRedefine/>
    <w:qFormat/>
    <w:uiPriority w:val="0"/>
    <w:pPr>
      <w:spacing w:line="360" w:lineRule="auto"/>
      <w:ind w:firstLine="560" w:firstLineChars="200"/>
    </w:pPr>
    <w:rPr>
      <w:color w:val="000000"/>
    </w:rPr>
  </w:style>
  <w:style w:type="paragraph" w:customStyle="1" w:styleId="142">
    <w:name w:val="样式 四号 黑色 左 行距: 1.5 倍行距"/>
    <w:basedOn w:val="1"/>
    <w:autoRedefine/>
    <w:qFormat/>
    <w:uiPriority w:val="0"/>
    <w:pPr>
      <w:spacing w:line="360" w:lineRule="auto"/>
      <w:jc w:val="left"/>
    </w:pPr>
    <w:rPr>
      <w:color w:val="000000"/>
    </w:rPr>
  </w:style>
  <w:style w:type="paragraph" w:customStyle="1" w:styleId="143">
    <w:name w:val="xl22"/>
    <w:basedOn w:val="1"/>
    <w:autoRedefine/>
    <w:qFormat/>
    <w:uiPriority w:val="0"/>
    <w:pPr>
      <w:widowControl/>
      <w:jc w:val="center"/>
    </w:pPr>
    <w:rPr>
      <w:rFonts w:hAnsi="宋体"/>
    </w:rPr>
  </w:style>
  <w:style w:type="paragraph" w:customStyle="1" w:styleId="144">
    <w:name w:val="xl79"/>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left"/>
      <w:textAlignment w:val="center"/>
    </w:pPr>
    <w:rPr>
      <w:rFonts w:hint="eastAsia" w:hAnsi="宋体"/>
    </w:rPr>
  </w:style>
  <w:style w:type="paragraph" w:customStyle="1" w:styleId="145">
    <w:name w:val="Char Char Char Char Char Char"/>
    <w:basedOn w:val="1"/>
    <w:next w:val="2"/>
    <w:autoRedefine/>
    <w:qFormat/>
    <w:uiPriority w:val="0"/>
    <w:rPr>
      <w:sz w:val="28"/>
      <w:szCs w:val="28"/>
    </w:rPr>
  </w:style>
  <w:style w:type="paragraph" w:customStyle="1" w:styleId="146">
    <w:name w:val="样式 四号 黑色 首行缩进:  1.11 厘米 行距: 1.5 倍行距"/>
    <w:basedOn w:val="1"/>
    <w:autoRedefine/>
    <w:qFormat/>
    <w:uiPriority w:val="0"/>
    <w:pPr>
      <w:spacing w:line="360" w:lineRule="auto"/>
      <w:ind w:firstLine="630"/>
    </w:pPr>
    <w:rPr>
      <w:color w:val="000000"/>
    </w:rPr>
  </w:style>
  <w:style w:type="paragraph" w:customStyle="1" w:styleId="147">
    <w:name w:val="样式"/>
    <w:autoRedefine/>
    <w:qFormat/>
    <w:uiPriority w:val="0"/>
    <w:pPr>
      <w:widowControl w:val="0"/>
      <w:autoSpaceDE w:val="0"/>
      <w:autoSpaceDN w:val="0"/>
      <w:adjustRightInd w:val="0"/>
    </w:pPr>
    <w:rPr>
      <w:rFonts w:ascii="Arial" w:hAnsi="Arial" w:eastAsia="宋体" w:cs="Arial"/>
      <w:sz w:val="24"/>
      <w:szCs w:val="24"/>
      <w:lang w:val="en-US" w:eastAsia="zh-CN" w:bidi="ar-SA"/>
    </w:rPr>
  </w:style>
  <w:style w:type="paragraph" w:customStyle="1" w:styleId="148">
    <w:name w:val="xl24"/>
    <w:basedOn w:val="1"/>
    <w:autoRedefine/>
    <w:qFormat/>
    <w:uiPriority w:val="0"/>
    <w:pPr>
      <w:widowControl/>
      <w:spacing w:beforeAutospacing="1" w:afterAutospacing="1"/>
      <w:jc w:val="left"/>
      <w:textAlignment w:val="center"/>
    </w:pPr>
    <w:rPr>
      <w:rFonts w:ascii="Arial Unicode MS" w:hAnsi="Arial Unicode MS" w:eastAsia="Arial Unicode MS"/>
      <w:b/>
      <w:bCs/>
      <w:color w:val="0000FF"/>
      <w:sz w:val="48"/>
      <w:szCs w:val="48"/>
    </w:rPr>
  </w:style>
  <w:style w:type="paragraph" w:customStyle="1" w:styleId="149">
    <w:name w:val="样式 宋体 首行缩进:  1.11 厘米"/>
    <w:basedOn w:val="1"/>
    <w:autoRedefine/>
    <w:qFormat/>
    <w:uiPriority w:val="0"/>
    <w:pPr>
      <w:spacing w:line="600" w:lineRule="exact"/>
      <w:ind w:firstLine="629" w:firstLineChars="200"/>
    </w:pPr>
    <w:rPr>
      <w:rFonts w:hAnsi="宋体"/>
      <w:sz w:val="28"/>
    </w:rPr>
  </w:style>
  <w:style w:type="paragraph" w:customStyle="1" w:styleId="150">
    <w:name w:val="xl60"/>
    <w:basedOn w:val="1"/>
    <w:autoRedefine/>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hint="eastAsia" w:hAnsi="宋体"/>
    </w:rPr>
  </w:style>
  <w:style w:type="paragraph" w:customStyle="1" w:styleId="151">
    <w:name w:val="样式 四号 首行缩进:  1 厘米 行距: 1.5 倍行距"/>
    <w:basedOn w:val="1"/>
    <w:autoRedefine/>
    <w:qFormat/>
    <w:uiPriority w:val="0"/>
    <w:pPr>
      <w:spacing w:line="360" w:lineRule="auto"/>
      <w:ind w:firstLine="567"/>
    </w:pPr>
  </w:style>
  <w:style w:type="paragraph" w:customStyle="1" w:styleId="152">
    <w:name w:val="xl27"/>
    <w:basedOn w:val="1"/>
    <w:autoRedefine/>
    <w:qFormat/>
    <w:uiPriority w:val="0"/>
    <w:pPr>
      <w:widowControl/>
      <w:spacing w:beforeAutospacing="1" w:afterAutospacing="1"/>
      <w:jc w:val="center"/>
      <w:textAlignment w:val="center"/>
    </w:pPr>
    <w:rPr>
      <w:rFonts w:ascii="Arial Unicode MS" w:hAnsi="Arial Unicode MS" w:eastAsia="Arial Unicode MS"/>
      <w:b/>
      <w:bCs/>
      <w:color w:val="0000FF"/>
      <w:sz w:val="20"/>
    </w:rPr>
  </w:style>
  <w:style w:type="paragraph" w:customStyle="1" w:styleId="153">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olor w:val="0000FF"/>
    </w:rPr>
  </w:style>
  <w:style w:type="paragraph" w:customStyle="1" w:styleId="154">
    <w:name w:val="样式 四号 黑色 行距: 1.5 倍行距2"/>
    <w:basedOn w:val="1"/>
    <w:autoRedefine/>
    <w:qFormat/>
    <w:uiPriority w:val="0"/>
    <w:pPr>
      <w:spacing w:line="360" w:lineRule="auto"/>
      <w:ind w:firstLine="420" w:firstLineChars="150"/>
    </w:pPr>
    <w:rPr>
      <w:color w:val="000000"/>
    </w:rPr>
  </w:style>
  <w:style w:type="paragraph" w:customStyle="1" w:styleId="155">
    <w:name w:val="表内序号"/>
    <w:basedOn w:val="1"/>
    <w:autoRedefine/>
    <w:qFormat/>
    <w:uiPriority w:val="0"/>
    <w:pPr>
      <w:widowControl/>
      <w:tabs>
        <w:tab w:val="left" w:pos="360"/>
      </w:tabs>
      <w:adjustRightInd w:val="0"/>
      <w:snapToGrid w:val="0"/>
      <w:spacing w:line="360" w:lineRule="auto"/>
      <w:ind w:left="113" w:hanging="113"/>
      <w:jc w:val="left"/>
    </w:pPr>
  </w:style>
  <w:style w:type="paragraph" w:customStyle="1" w:styleId="156">
    <w:name w:val="xl65"/>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157">
    <w:name w:val="Char Char Char"/>
    <w:basedOn w:val="1"/>
    <w:next w:val="2"/>
    <w:autoRedefine/>
    <w:qFormat/>
    <w:uiPriority w:val="0"/>
    <w:rPr>
      <w:sz w:val="28"/>
      <w:szCs w:val="28"/>
    </w:rPr>
  </w:style>
  <w:style w:type="paragraph" w:customStyle="1" w:styleId="158">
    <w:name w:val="样式 四号 黑色 左 行距: 固定值 25 磅"/>
    <w:basedOn w:val="1"/>
    <w:autoRedefine/>
    <w:qFormat/>
    <w:uiPriority w:val="0"/>
    <w:pPr>
      <w:spacing w:line="500" w:lineRule="exact"/>
      <w:jc w:val="left"/>
    </w:pPr>
    <w:rPr>
      <w:color w:val="000000"/>
    </w:rPr>
  </w:style>
  <w:style w:type="paragraph" w:customStyle="1" w:styleId="159">
    <w:name w:val="标格标题"/>
    <w:basedOn w:val="160"/>
    <w:next w:val="160"/>
    <w:autoRedefine/>
    <w:qFormat/>
    <w:uiPriority w:val="0"/>
    <w:pPr>
      <w:widowControl/>
    </w:pPr>
    <w:rPr>
      <w:b/>
    </w:rPr>
  </w:style>
  <w:style w:type="paragraph" w:customStyle="1" w:styleId="160">
    <w:name w:val="表格文字"/>
    <w:basedOn w:val="1"/>
    <w:autoRedefine/>
    <w:qFormat/>
    <w:uiPriority w:val="0"/>
    <w:pPr>
      <w:jc w:val="center"/>
    </w:pPr>
    <w:rPr>
      <w:szCs w:val="21"/>
    </w:rPr>
  </w:style>
  <w:style w:type="paragraph" w:customStyle="1" w:styleId="161">
    <w:name w:val="表格1"/>
    <w:autoRedefine/>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paragraph" w:customStyle="1" w:styleId="162">
    <w:name w:val="font14"/>
    <w:basedOn w:val="1"/>
    <w:autoRedefine/>
    <w:qFormat/>
    <w:uiPriority w:val="0"/>
    <w:pPr>
      <w:widowControl/>
      <w:spacing w:beforeAutospacing="1" w:afterAutospacing="1"/>
      <w:jc w:val="left"/>
    </w:pPr>
  </w:style>
  <w:style w:type="paragraph" w:customStyle="1" w:styleId="163">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olor w:val="0000FF"/>
      <w:sz w:val="20"/>
    </w:rPr>
  </w:style>
  <w:style w:type="paragraph" w:customStyle="1" w:styleId="164">
    <w:name w:val="xl26"/>
    <w:basedOn w:val="1"/>
    <w:autoRedefine/>
    <w:qFormat/>
    <w:uiPriority w:val="0"/>
    <w:pPr>
      <w:widowControl/>
      <w:jc w:val="center"/>
    </w:pPr>
    <w:rPr>
      <w:rFonts w:hAnsi="宋体"/>
    </w:rPr>
  </w:style>
  <w:style w:type="paragraph" w:customStyle="1" w:styleId="165">
    <w:name w:val="s4"/>
    <w:basedOn w:val="1"/>
    <w:next w:val="37"/>
    <w:autoRedefine/>
    <w:qFormat/>
    <w:uiPriority w:val="0"/>
  </w:style>
  <w:style w:type="paragraph" w:customStyle="1" w:styleId="166">
    <w:name w:val="font10"/>
    <w:basedOn w:val="1"/>
    <w:autoRedefine/>
    <w:qFormat/>
    <w:uiPriority w:val="0"/>
    <w:pPr>
      <w:widowControl/>
      <w:spacing w:beforeAutospacing="1" w:afterAutospacing="1"/>
      <w:jc w:val="left"/>
    </w:pPr>
    <w:rPr>
      <w:rFonts w:eastAsia="Arial Unicode MS"/>
      <w:color w:val="0000FF"/>
      <w:sz w:val="20"/>
    </w:rPr>
  </w:style>
  <w:style w:type="paragraph" w:customStyle="1" w:styleId="167">
    <w:name w:val="xl53"/>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68">
    <w:name w:val="xl56"/>
    <w:basedOn w:val="1"/>
    <w:autoRedefine/>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69">
    <w:name w:val="样式 正文首行缩进 + 首行缩进:  2 字符"/>
    <w:basedOn w:val="49"/>
    <w:autoRedefine/>
    <w:qFormat/>
    <w:uiPriority w:val="0"/>
    <w:pPr>
      <w:spacing w:line="360" w:lineRule="auto"/>
      <w:ind w:firstLine="432" w:firstLineChars="200"/>
    </w:pPr>
    <w:rPr>
      <w:rFonts w:hAnsi="宋体" w:cs="宋体"/>
      <w:color w:val="000000"/>
      <w:sz w:val="28"/>
      <w:szCs w:val="20"/>
    </w:rPr>
  </w:style>
  <w:style w:type="paragraph" w:customStyle="1" w:styleId="170">
    <w:name w:val="样式 四号 行距: 1.5 倍行距6"/>
    <w:basedOn w:val="1"/>
    <w:autoRedefine/>
    <w:qFormat/>
    <w:uiPriority w:val="0"/>
    <w:pPr>
      <w:spacing w:line="360" w:lineRule="auto"/>
      <w:ind w:firstLine="560" w:firstLineChars="200"/>
    </w:pPr>
  </w:style>
  <w:style w:type="paragraph" w:customStyle="1" w:styleId="171">
    <w:name w:val="xl72"/>
    <w:basedOn w:val="1"/>
    <w:autoRedefine/>
    <w:qFormat/>
    <w:uiPriority w:val="0"/>
    <w:pPr>
      <w:widowControl/>
      <w:pBdr>
        <w:top w:val="single" w:color="auto" w:sz="4" w:space="0"/>
        <w:left w:val="single" w:color="auto" w:sz="4" w:space="0"/>
        <w:right w:val="single" w:color="auto" w:sz="4" w:space="0"/>
      </w:pBdr>
      <w:spacing w:beforeAutospacing="1" w:afterAutospacing="1"/>
      <w:jc w:val="left"/>
      <w:textAlignment w:val="center"/>
    </w:pPr>
    <w:rPr>
      <w:rFonts w:hint="eastAsia" w:hAnsi="宋体"/>
    </w:rPr>
  </w:style>
  <w:style w:type="paragraph" w:customStyle="1" w:styleId="172">
    <w:name w:val="样式 四号 首行缩进:  0.85 厘米 行距: 1.5 倍行距"/>
    <w:basedOn w:val="1"/>
    <w:autoRedefine/>
    <w:qFormat/>
    <w:uiPriority w:val="0"/>
    <w:pPr>
      <w:spacing w:line="360" w:lineRule="auto"/>
      <w:ind w:firstLine="480"/>
    </w:pPr>
  </w:style>
  <w:style w:type="paragraph" w:customStyle="1" w:styleId="173">
    <w:name w:val="样式2"/>
    <w:basedOn w:val="1"/>
    <w:next w:val="7"/>
    <w:autoRedefine/>
    <w:qFormat/>
    <w:uiPriority w:val="0"/>
    <w:pPr>
      <w:adjustRightInd w:val="0"/>
      <w:snapToGrid w:val="0"/>
      <w:spacing w:line="400" w:lineRule="exact"/>
      <w:outlineLvl w:val="3"/>
    </w:pPr>
    <w:rPr>
      <w:rFonts w:hAnsi="宋体"/>
      <w:sz w:val="28"/>
    </w:rPr>
  </w:style>
  <w:style w:type="paragraph" w:customStyle="1" w:styleId="174">
    <w:name w:val="样式 四号 首行缩进:  0.99 厘米 行距: 1.5 倍行距"/>
    <w:basedOn w:val="1"/>
    <w:autoRedefine/>
    <w:qFormat/>
    <w:uiPriority w:val="0"/>
    <w:pPr>
      <w:spacing w:line="360" w:lineRule="auto"/>
      <w:ind w:firstLine="560"/>
    </w:pPr>
  </w:style>
  <w:style w:type="paragraph" w:customStyle="1" w:styleId="175">
    <w:name w:val="xl38"/>
    <w:basedOn w:val="1"/>
    <w:autoRedefine/>
    <w:qFormat/>
    <w:uiPriority w:val="0"/>
    <w:pPr>
      <w:widowControl/>
      <w:pBdr>
        <w:top w:val="single" w:color="auto" w:sz="4" w:space="0"/>
        <w:left w:val="single" w:color="auto" w:sz="4" w:space="20"/>
        <w:bottom w:val="single" w:color="auto" w:sz="4" w:space="0"/>
        <w:right w:val="single" w:color="auto" w:sz="4" w:space="0"/>
      </w:pBdr>
      <w:spacing w:beforeAutospacing="1" w:afterAutospacing="1"/>
      <w:ind w:firstLine="100" w:firstLineChars="100"/>
      <w:jc w:val="left"/>
      <w:textAlignment w:val="center"/>
    </w:pPr>
    <w:rPr>
      <w:rFonts w:ascii="Arial Unicode MS" w:hAnsi="Arial Unicode MS" w:eastAsia="Arial Unicode MS"/>
      <w:color w:val="0000FF"/>
      <w:sz w:val="20"/>
    </w:rPr>
  </w:style>
  <w:style w:type="paragraph" w:customStyle="1" w:styleId="176">
    <w:name w:val="xl64"/>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77">
    <w:name w:val="xl68"/>
    <w:basedOn w:val="1"/>
    <w:autoRedefine/>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Ansi="宋体"/>
    </w:rPr>
  </w:style>
  <w:style w:type="paragraph" w:customStyle="1" w:styleId="178">
    <w:name w:val="xl69"/>
    <w:basedOn w:val="1"/>
    <w:autoRedefine/>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int="eastAsia" w:hAnsi="宋体"/>
    </w:rPr>
  </w:style>
  <w:style w:type="paragraph" w:customStyle="1" w:styleId="179">
    <w:name w:val="font0"/>
    <w:basedOn w:val="1"/>
    <w:autoRedefine/>
    <w:qFormat/>
    <w:uiPriority w:val="0"/>
    <w:pPr>
      <w:widowControl/>
      <w:spacing w:beforeAutospacing="1" w:afterAutospacing="1"/>
      <w:jc w:val="left"/>
    </w:pPr>
    <w:rPr>
      <w:rFonts w:hint="eastAsia" w:hAnsi="宋体"/>
    </w:rPr>
  </w:style>
  <w:style w:type="paragraph" w:customStyle="1" w:styleId="180">
    <w:name w:val="表格内容"/>
    <w:basedOn w:val="1"/>
    <w:autoRedefine/>
    <w:qFormat/>
    <w:uiPriority w:val="0"/>
    <w:pPr>
      <w:overflowPunct w:val="0"/>
      <w:adjustRightInd w:val="0"/>
      <w:spacing w:line="200" w:lineRule="atLeast"/>
      <w:textAlignment w:val="baseline"/>
    </w:pPr>
    <w:rPr>
      <w:rFonts w:ascii="Arial" w:hAnsi="Arial" w:eastAsia="仿宋_GB2312"/>
    </w:rPr>
  </w:style>
  <w:style w:type="paragraph" w:customStyle="1" w:styleId="181">
    <w:name w:val="1.1.1"/>
    <w:basedOn w:val="1"/>
    <w:autoRedefine/>
    <w:qFormat/>
    <w:uiPriority w:val="0"/>
    <w:pPr>
      <w:adjustRightInd w:val="0"/>
      <w:jc w:val="left"/>
      <w:textAlignment w:val="baseline"/>
    </w:pPr>
    <w:rPr>
      <w:spacing w:val="10"/>
    </w:rPr>
  </w:style>
  <w:style w:type="paragraph" w:customStyle="1" w:styleId="182">
    <w:name w:val="正文1"/>
    <w:autoRedefine/>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183">
    <w:name w:val="xl71"/>
    <w:basedOn w:val="1"/>
    <w:autoRedefine/>
    <w:qFormat/>
    <w:uiPriority w:val="0"/>
    <w:pPr>
      <w:widowControl/>
      <w:pBdr>
        <w:top w:val="single" w:color="auto" w:sz="4" w:space="0"/>
        <w:left w:val="single" w:color="auto" w:sz="8" w:space="0"/>
        <w:right w:val="single" w:color="auto" w:sz="4" w:space="0"/>
      </w:pBdr>
      <w:spacing w:beforeAutospacing="1" w:afterAutospacing="1"/>
      <w:jc w:val="center"/>
      <w:textAlignment w:val="center"/>
    </w:pPr>
    <w:rPr>
      <w:rFonts w:hAnsi="宋体"/>
    </w:rPr>
  </w:style>
  <w:style w:type="paragraph" w:customStyle="1" w:styleId="184">
    <w:name w:val="正文 + 首行缩进"/>
    <w:basedOn w:val="1"/>
    <w:autoRedefine/>
    <w:qFormat/>
    <w:uiPriority w:val="0"/>
    <w:pPr>
      <w:spacing w:line="500" w:lineRule="exact"/>
      <w:ind w:firstLine="560" w:firstLineChars="200"/>
    </w:pPr>
    <w:rPr>
      <w:rFonts w:cs="宋体"/>
      <w:sz w:val="28"/>
    </w:rPr>
  </w:style>
  <w:style w:type="paragraph" w:customStyle="1" w:styleId="185">
    <w:name w:val="xl76"/>
    <w:basedOn w:val="1"/>
    <w:autoRedefine/>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hint="eastAsia" w:hAnsi="宋体"/>
    </w:rPr>
  </w:style>
  <w:style w:type="paragraph" w:customStyle="1" w:styleId="186">
    <w:name w:val="纯文本1"/>
    <w:basedOn w:val="1"/>
    <w:autoRedefine/>
    <w:qFormat/>
    <w:uiPriority w:val="0"/>
    <w:pPr>
      <w:adjustRightInd w:val="0"/>
      <w:textAlignment w:val="baseline"/>
    </w:pPr>
    <w:rPr>
      <w:rFonts w:hAnsi="Courier New"/>
      <w:sz w:val="28"/>
    </w:rPr>
  </w:style>
  <w:style w:type="paragraph" w:customStyle="1" w:styleId="187">
    <w:name w:val="样式 四号 左侧:  0.02 厘米 行距: 1.5 倍行距"/>
    <w:basedOn w:val="1"/>
    <w:autoRedefine/>
    <w:qFormat/>
    <w:uiPriority w:val="0"/>
    <w:pPr>
      <w:spacing w:line="360" w:lineRule="auto"/>
      <w:ind w:left="14"/>
    </w:pPr>
  </w:style>
  <w:style w:type="paragraph" w:customStyle="1" w:styleId="188">
    <w:name w:val="样式 四号 行距: 固定值 25 磅2"/>
    <w:basedOn w:val="1"/>
    <w:autoRedefine/>
    <w:qFormat/>
    <w:uiPriority w:val="0"/>
    <w:pPr>
      <w:spacing w:line="500" w:lineRule="exact"/>
      <w:ind w:firstLine="1120" w:firstLineChars="400"/>
    </w:pPr>
  </w:style>
  <w:style w:type="paragraph" w:customStyle="1" w:styleId="189">
    <w:name w:val="xl84"/>
    <w:basedOn w:val="1"/>
    <w:autoRedefine/>
    <w:qFormat/>
    <w:uiPriority w:val="0"/>
    <w:pPr>
      <w:widowControl/>
      <w:pBdr>
        <w:left w:val="single" w:color="auto" w:sz="8" w:space="0"/>
        <w:right w:val="single" w:color="auto" w:sz="4" w:space="0"/>
      </w:pBdr>
      <w:spacing w:beforeAutospacing="1" w:afterAutospacing="1"/>
      <w:jc w:val="center"/>
      <w:textAlignment w:val="center"/>
    </w:pPr>
    <w:rPr>
      <w:rFonts w:hAnsi="宋体"/>
    </w:rPr>
  </w:style>
  <w:style w:type="paragraph" w:customStyle="1" w:styleId="190">
    <w:name w:val="xl47"/>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pPr>
    <w:rPr>
      <w:rFonts w:hAnsi="宋体"/>
    </w:rPr>
  </w:style>
  <w:style w:type="paragraph" w:customStyle="1" w:styleId="191">
    <w:name w:val="样式 四号 首行缩进:  0.93 厘米 行距: 1.5 倍行距"/>
    <w:basedOn w:val="1"/>
    <w:autoRedefine/>
    <w:qFormat/>
    <w:uiPriority w:val="0"/>
    <w:pPr>
      <w:spacing w:line="360" w:lineRule="auto"/>
      <w:ind w:firstLine="525"/>
    </w:pPr>
  </w:style>
  <w:style w:type="paragraph" w:customStyle="1" w:styleId="192">
    <w:name w:val="xl70"/>
    <w:basedOn w:val="1"/>
    <w:autoRedefine/>
    <w:qFormat/>
    <w:uiPriority w:val="0"/>
    <w:pPr>
      <w:widowControl/>
      <w:pBdr>
        <w:top w:val="single" w:color="auto" w:sz="4" w:space="0"/>
        <w:left w:val="single" w:color="auto" w:sz="4" w:space="0"/>
        <w:right w:val="single" w:color="auto" w:sz="8" w:space="0"/>
      </w:pBdr>
      <w:spacing w:beforeAutospacing="1" w:afterAutospacing="1"/>
      <w:jc w:val="left"/>
      <w:textAlignment w:val="center"/>
    </w:pPr>
    <w:rPr>
      <w:rFonts w:hAnsi="宋体"/>
    </w:rPr>
  </w:style>
  <w:style w:type="paragraph" w:customStyle="1" w:styleId="193">
    <w:name w:val="p0"/>
    <w:basedOn w:val="1"/>
    <w:autoRedefine/>
    <w:qFormat/>
    <w:uiPriority w:val="0"/>
    <w:pPr>
      <w:widowControl/>
    </w:pPr>
    <w:rPr>
      <w:rFonts w:ascii="Calibri" w:hAnsi="Calibri" w:cs="宋体"/>
      <w:szCs w:val="21"/>
    </w:rPr>
  </w:style>
  <w:style w:type="paragraph" w:customStyle="1" w:styleId="194">
    <w:name w:val="正文(首行缩进2字)"/>
    <w:basedOn w:val="1"/>
    <w:next w:val="1"/>
    <w:autoRedefine/>
    <w:qFormat/>
    <w:uiPriority w:val="0"/>
    <w:pPr>
      <w:adjustRightInd w:val="0"/>
      <w:snapToGrid w:val="0"/>
      <w:spacing w:line="360" w:lineRule="auto"/>
      <w:ind w:firstLine="232" w:firstLineChars="232"/>
      <w:textAlignment w:val="baseline"/>
    </w:pPr>
  </w:style>
  <w:style w:type="paragraph" w:customStyle="1" w:styleId="195">
    <w:name w:val="样式 四号 行距: 1.5 倍行距8"/>
    <w:basedOn w:val="1"/>
    <w:autoRedefine/>
    <w:qFormat/>
    <w:uiPriority w:val="0"/>
    <w:pPr>
      <w:spacing w:line="360" w:lineRule="auto"/>
      <w:ind w:left="15" w:leftChars="7" w:firstLine="560" w:firstLineChars="200"/>
    </w:pPr>
  </w:style>
  <w:style w:type="paragraph" w:customStyle="1" w:styleId="196">
    <w:name w:val="font6"/>
    <w:basedOn w:val="1"/>
    <w:autoRedefine/>
    <w:qFormat/>
    <w:uiPriority w:val="0"/>
    <w:pPr>
      <w:widowControl/>
      <w:spacing w:beforeAutospacing="1" w:afterAutospacing="1"/>
      <w:jc w:val="left"/>
    </w:pPr>
    <w:rPr>
      <w:rFonts w:hint="eastAsia" w:hAnsi="宋体"/>
      <w:b/>
      <w:bCs/>
      <w:color w:val="0000FF"/>
      <w:sz w:val="48"/>
      <w:szCs w:val="48"/>
    </w:rPr>
  </w:style>
  <w:style w:type="paragraph" w:customStyle="1" w:styleId="197">
    <w:name w:val="xl75"/>
    <w:basedOn w:val="1"/>
    <w:autoRedefine/>
    <w:qFormat/>
    <w:uiPriority w:val="0"/>
    <w:pPr>
      <w:widowControl/>
      <w:pBdr>
        <w:top w:val="single" w:color="auto" w:sz="4" w:space="0"/>
        <w:left w:val="single" w:color="auto" w:sz="4" w:space="0"/>
        <w:right w:val="single" w:color="auto" w:sz="8" w:space="0"/>
      </w:pBdr>
      <w:spacing w:beforeAutospacing="1" w:afterAutospacing="1"/>
      <w:jc w:val="center"/>
      <w:textAlignment w:val="center"/>
    </w:pPr>
    <w:rPr>
      <w:rFonts w:hint="eastAsia" w:hAnsi="宋体"/>
    </w:rPr>
  </w:style>
  <w:style w:type="paragraph" w:customStyle="1" w:styleId="198">
    <w:name w:val="xl43"/>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textAlignment w:val="center"/>
    </w:pPr>
    <w:rPr>
      <w:rFonts w:hAnsi="宋体"/>
    </w:rPr>
  </w:style>
  <w:style w:type="paragraph" w:customStyle="1" w:styleId="199">
    <w:name w:val="_Style 58"/>
    <w:basedOn w:val="1"/>
    <w:autoRedefine/>
    <w:qFormat/>
    <w:uiPriority w:val="0"/>
    <w:pPr>
      <w:widowControl/>
      <w:adjustRightInd w:val="0"/>
      <w:spacing w:line="240" w:lineRule="exact"/>
      <w:jc w:val="left"/>
      <w:textAlignment w:val="baseline"/>
    </w:pPr>
  </w:style>
  <w:style w:type="paragraph" w:customStyle="1" w:styleId="200">
    <w:name w:val="表格03"/>
    <w:basedOn w:val="1"/>
    <w:autoRedefine/>
    <w:qFormat/>
    <w:uiPriority w:val="0"/>
    <w:pPr>
      <w:adjustRightInd w:val="0"/>
      <w:spacing w:line="400" w:lineRule="exact"/>
      <w:jc w:val="center"/>
    </w:pPr>
    <w:rPr>
      <w:szCs w:val="21"/>
    </w:rPr>
  </w:style>
  <w:style w:type="paragraph" w:customStyle="1" w:styleId="201">
    <w:name w:val="样式 标题 2 + 小四"/>
    <w:basedOn w:val="3"/>
    <w:autoRedefine/>
    <w:qFormat/>
    <w:uiPriority w:val="0"/>
    <w:pPr>
      <w:spacing w:line="578" w:lineRule="auto"/>
    </w:pPr>
    <w:rPr>
      <w:sz w:val="24"/>
    </w:rPr>
  </w:style>
  <w:style w:type="paragraph" w:customStyle="1" w:styleId="202">
    <w:name w:val="样式 样式 样式 首行缩进:  0.8厘米 + 右侧:  2 字符 + 左侧:  2 字符"/>
    <w:basedOn w:val="87"/>
    <w:link w:val="289"/>
    <w:autoRedefine/>
    <w:qFormat/>
    <w:uiPriority w:val="0"/>
    <w:pPr>
      <w:ind w:left="0" w:leftChars="0" w:firstLine="200" w:firstLineChars="200"/>
    </w:pPr>
  </w:style>
  <w:style w:type="paragraph" w:customStyle="1" w:styleId="203">
    <w:name w:val="xl50"/>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sz w:val="32"/>
      <w:szCs w:val="32"/>
    </w:rPr>
  </w:style>
  <w:style w:type="paragraph" w:customStyle="1" w:styleId="204">
    <w:name w:val="xl45"/>
    <w:basedOn w:val="1"/>
    <w:autoRedefine/>
    <w:qFormat/>
    <w:uiPriority w:val="0"/>
    <w:pPr>
      <w:widowControl/>
      <w:pBdr>
        <w:top w:val="single" w:color="auto" w:sz="4" w:space="0"/>
        <w:left w:val="single" w:color="auto" w:sz="8" w:space="0"/>
        <w:bottom w:val="single" w:color="auto" w:sz="8" w:space="0"/>
        <w:right w:val="single" w:color="auto" w:sz="4" w:space="0"/>
      </w:pBdr>
      <w:spacing w:beforeAutospacing="1" w:afterAutospacing="1"/>
      <w:jc w:val="center"/>
    </w:pPr>
    <w:rPr>
      <w:rFonts w:hAnsi="宋体"/>
    </w:rPr>
  </w:style>
  <w:style w:type="paragraph" w:customStyle="1" w:styleId="205">
    <w:name w:val="Char Char Char Char Char Char Char Char Char Char Char Char Char Char Char"/>
    <w:basedOn w:val="1"/>
    <w:autoRedefine/>
    <w:qFormat/>
    <w:uiPriority w:val="0"/>
    <w:pPr>
      <w:widowControl/>
      <w:spacing w:line="240" w:lineRule="exact"/>
      <w:jc w:val="left"/>
    </w:pPr>
    <w:rPr>
      <w:rFonts w:ascii="Tahoma" w:hAnsi="Tahoma"/>
      <w:sz w:val="20"/>
      <w:lang w:eastAsia="en-US"/>
    </w:rPr>
  </w:style>
  <w:style w:type="paragraph" w:customStyle="1" w:styleId="206">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Arial Unicode MS" w:hAnsi="Arial Unicode MS" w:eastAsia="Arial Unicode MS"/>
      <w:color w:val="0000FF"/>
      <w:sz w:val="20"/>
    </w:rPr>
  </w:style>
  <w:style w:type="paragraph" w:customStyle="1" w:styleId="207">
    <w:name w:val="xl58"/>
    <w:basedOn w:val="1"/>
    <w:autoRedefine/>
    <w:qFormat/>
    <w:uiPriority w:val="0"/>
    <w:pPr>
      <w:widowControl/>
      <w:spacing w:beforeAutospacing="1" w:afterAutospacing="1"/>
      <w:jc w:val="left"/>
    </w:pPr>
    <w:rPr>
      <w:rFonts w:hint="eastAsia" w:hAnsi="宋体"/>
    </w:rPr>
  </w:style>
  <w:style w:type="paragraph" w:customStyle="1" w:styleId="208">
    <w:name w:val="样式 四号 首行缩进:  1.01 厘米 行距: 1.5 倍行距"/>
    <w:basedOn w:val="1"/>
    <w:autoRedefine/>
    <w:qFormat/>
    <w:uiPriority w:val="0"/>
    <w:pPr>
      <w:spacing w:line="360" w:lineRule="auto"/>
      <w:ind w:firstLine="570"/>
    </w:pPr>
  </w:style>
  <w:style w:type="paragraph" w:customStyle="1" w:styleId="209">
    <w:name w:val="样式 (西文) 仿宋_GB2312 (中文) 仿宋_GB2312 二号 加粗 居中 行距: 1.5 倍行距"/>
    <w:basedOn w:val="1"/>
    <w:autoRedefine/>
    <w:qFormat/>
    <w:uiPriority w:val="0"/>
    <w:pPr>
      <w:spacing w:line="360" w:lineRule="auto"/>
      <w:jc w:val="center"/>
    </w:pPr>
    <w:rPr>
      <w:rFonts w:ascii="仿宋_GB2312" w:cs="宋体"/>
      <w:b/>
      <w:bCs/>
      <w:sz w:val="44"/>
    </w:rPr>
  </w:style>
  <w:style w:type="paragraph" w:customStyle="1" w:styleId="210">
    <w:name w:val="xl80"/>
    <w:basedOn w:val="1"/>
    <w:autoRedefine/>
    <w:qFormat/>
    <w:uiPriority w:val="0"/>
    <w:pPr>
      <w:widowControl/>
      <w:pBdr>
        <w:top w:val="single" w:color="auto" w:sz="4" w:space="0"/>
        <w:left w:val="single" w:color="auto" w:sz="4" w:space="0"/>
        <w:bottom w:val="single" w:color="auto" w:sz="8" w:space="0"/>
        <w:right w:val="single" w:color="auto" w:sz="8" w:space="0"/>
      </w:pBdr>
      <w:spacing w:beforeAutospacing="1" w:afterAutospacing="1"/>
      <w:jc w:val="left"/>
      <w:textAlignment w:val="center"/>
    </w:pPr>
    <w:rPr>
      <w:rFonts w:hAnsi="宋体"/>
    </w:rPr>
  </w:style>
  <w:style w:type="paragraph" w:customStyle="1" w:styleId="211">
    <w:name w:val="正文11"/>
    <w:basedOn w:val="1"/>
    <w:autoRedefine/>
    <w:qFormat/>
    <w:uiPriority w:val="0"/>
    <w:pPr>
      <w:adjustRightInd w:val="0"/>
      <w:snapToGrid w:val="0"/>
      <w:spacing w:line="360" w:lineRule="auto"/>
    </w:pPr>
    <w:rPr>
      <w:snapToGrid w:val="0"/>
    </w:rPr>
  </w:style>
  <w:style w:type="paragraph" w:customStyle="1" w:styleId="212">
    <w:name w:val="样式 四号 行距: 固定值 25 磅1"/>
    <w:basedOn w:val="1"/>
    <w:autoRedefine/>
    <w:qFormat/>
    <w:uiPriority w:val="0"/>
    <w:pPr>
      <w:spacing w:line="500" w:lineRule="exact"/>
      <w:ind w:firstLine="560" w:firstLineChars="200"/>
    </w:pPr>
  </w:style>
  <w:style w:type="paragraph" w:customStyle="1" w:styleId="213">
    <w:name w:val="0"/>
    <w:basedOn w:val="1"/>
    <w:autoRedefine/>
    <w:qFormat/>
    <w:uiPriority w:val="0"/>
    <w:pPr>
      <w:widowControl/>
      <w:snapToGrid w:val="0"/>
    </w:pPr>
    <w:rPr>
      <w:sz w:val="20"/>
    </w:rPr>
  </w:style>
  <w:style w:type="paragraph" w:customStyle="1" w:styleId="214">
    <w:name w:val="xl86"/>
    <w:basedOn w:val="1"/>
    <w:autoRedefine/>
    <w:qFormat/>
    <w:uiPriority w:val="0"/>
    <w:pPr>
      <w:widowControl/>
      <w:pBdr>
        <w:left w:val="single" w:color="auto" w:sz="4" w:space="0"/>
        <w:right w:val="single" w:color="auto" w:sz="4" w:space="0"/>
      </w:pBdr>
      <w:spacing w:beforeAutospacing="1" w:afterAutospacing="1"/>
      <w:jc w:val="center"/>
      <w:textAlignment w:val="center"/>
    </w:pPr>
    <w:rPr>
      <w:rFonts w:hint="eastAsia" w:hAnsi="宋体"/>
    </w:rPr>
  </w:style>
  <w:style w:type="paragraph" w:customStyle="1" w:styleId="215">
    <w:name w:val="xl63"/>
    <w:basedOn w:val="1"/>
    <w:autoRedefine/>
    <w:qFormat/>
    <w:uiPriority w:val="0"/>
    <w:pPr>
      <w:widowControl/>
      <w:pBdr>
        <w:left w:val="single" w:color="auto" w:sz="8" w:space="0"/>
        <w:bottom w:val="single" w:color="auto" w:sz="8" w:space="0"/>
        <w:right w:val="single" w:color="auto" w:sz="4" w:space="0"/>
      </w:pBdr>
      <w:jc w:val="center"/>
      <w:textAlignment w:val="center"/>
    </w:pPr>
    <w:rPr>
      <w:rFonts w:ascii="Arial Unicode MS" w:hAnsi="Arial Unicode MS" w:eastAsia="Arial Unicode MS"/>
    </w:rPr>
  </w:style>
  <w:style w:type="paragraph" w:customStyle="1" w:styleId="216">
    <w:name w:val="正文2"/>
    <w:basedOn w:val="1"/>
    <w:link w:val="277"/>
    <w:autoRedefine/>
    <w:qFormat/>
    <w:uiPriority w:val="0"/>
    <w:pPr>
      <w:spacing w:line="500" w:lineRule="exact"/>
      <w:ind w:firstLine="560" w:firstLineChars="200"/>
    </w:pPr>
    <w:rPr>
      <w:rFonts w:cs="宋体"/>
      <w:kern w:val="2"/>
      <w:sz w:val="28"/>
      <w:szCs w:val="28"/>
    </w:rPr>
  </w:style>
  <w:style w:type="paragraph" w:customStyle="1" w:styleId="217">
    <w:name w:val="样式4"/>
    <w:basedOn w:val="23"/>
    <w:autoRedefine/>
    <w:qFormat/>
    <w:uiPriority w:val="0"/>
    <w:pPr>
      <w:spacing w:line="500" w:lineRule="exact"/>
      <w:ind w:left="0" w:leftChars="0" w:firstLine="646"/>
    </w:pPr>
    <w:rPr>
      <w:sz w:val="28"/>
    </w:rPr>
  </w:style>
  <w:style w:type="paragraph" w:customStyle="1" w:styleId="218">
    <w:name w:val="xl57"/>
    <w:basedOn w:val="1"/>
    <w:autoRedefine/>
    <w:qFormat/>
    <w:uiPriority w:val="0"/>
    <w:pPr>
      <w:widowControl/>
      <w:pBdr>
        <w:left w:val="single" w:color="auto" w:sz="4" w:space="0"/>
        <w:bottom w:val="single" w:color="auto" w:sz="4" w:space="0"/>
        <w:right w:val="single" w:color="auto" w:sz="8" w:space="0"/>
      </w:pBdr>
      <w:spacing w:beforeAutospacing="1" w:afterAutospacing="1"/>
      <w:jc w:val="left"/>
      <w:textAlignment w:val="center"/>
    </w:pPr>
    <w:rPr>
      <w:rFonts w:hAnsi="宋体"/>
    </w:rPr>
  </w:style>
  <w:style w:type="paragraph" w:customStyle="1" w:styleId="219">
    <w:name w:val="xl66"/>
    <w:basedOn w:val="1"/>
    <w:autoRedefine/>
    <w:qFormat/>
    <w:uiPriority w:val="0"/>
    <w:pPr>
      <w:widowControl/>
      <w:pBdr>
        <w:top w:val="single" w:color="auto" w:sz="4" w:space="0"/>
        <w:left w:val="single" w:color="auto" w:sz="8" w:space="0"/>
        <w:right w:val="single" w:color="auto" w:sz="4" w:space="0"/>
      </w:pBdr>
      <w:spacing w:beforeAutospacing="1" w:afterAutospacing="1"/>
      <w:jc w:val="center"/>
      <w:textAlignment w:val="center"/>
    </w:pPr>
    <w:rPr>
      <w:rFonts w:hint="eastAsia" w:hAnsi="宋体"/>
    </w:rPr>
  </w:style>
  <w:style w:type="paragraph" w:customStyle="1" w:styleId="220">
    <w:name w:val="xl73"/>
    <w:basedOn w:val="1"/>
    <w:autoRedefine/>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int="eastAsia" w:hAnsi="宋体"/>
      <w:sz w:val="22"/>
      <w:szCs w:val="22"/>
    </w:rPr>
  </w:style>
  <w:style w:type="paragraph" w:customStyle="1" w:styleId="221">
    <w:name w:val="Char1 Char Char Char Char Char Char Char Char Char Char Char Char Char Char Char"/>
    <w:basedOn w:val="1"/>
    <w:autoRedefine/>
    <w:qFormat/>
    <w:uiPriority w:val="0"/>
    <w:pPr>
      <w:widowControl/>
      <w:spacing w:line="240" w:lineRule="exact"/>
      <w:jc w:val="left"/>
    </w:pPr>
  </w:style>
  <w:style w:type="paragraph" w:customStyle="1" w:styleId="222">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olor w:val="0000FF"/>
    </w:rPr>
  </w:style>
  <w:style w:type="paragraph" w:customStyle="1" w:styleId="223">
    <w:name w:val="xl87"/>
    <w:basedOn w:val="1"/>
    <w:autoRedefine/>
    <w:qFormat/>
    <w:uiPriority w:val="0"/>
    <w:pPr>
      <w:widowControl/>
      <w:pBdr>
        <w:left w:val="single" w:color="auto" w:sz="4" w:space="0"/>
        <w:right w:val="single" w:color="auto" w:sz="4" w:space="0"/>
      </w:pBdr>
      <w:spacing w:beforeAutospacing="1" w:afterAutospacing="1"/>
      <w:jc w:val="center"/>
      <w:textAlignment w:val="center"/>
    </w:pPr>
    <w:rPr>
      <w:rFonts w:hAnsi="宋体"/>
    </w:rPr>
  </w:style>
  <w:style w:type="paragraph" w:customStyle="1" w:styleId="224">
    <w:name w:val="样式11"/>
    <w:basedOn w:val="1"/>
    <w:next w:val="6"/>
    <w:autoRedefine/>
    <w:qFormat/>
    <w:uiPriority w:val="0"/>
    <w:pPr>
      <w:adjustRightInd w:val="0"/>
      <w:snapToGrid w:val="0"/>
      <w:spacing w:line="500" w:lineRule="exact"/>
    </w:pPr>
    <w:rPr>
      <w:rFonts w:hAnsi="宋体"/>
      <w:sz w:val="28"/>
    </w:rPr>
  </w:style>
  <w:style w:type="paragraph" w:customStyle="1" w:styleId="225">
    <w:name w:val="无悬挂正文5号"/>
    <w:basedOn w:val="1"/>
    <w:autoRedefine/>
    <w:qFormat/>
    <w:uiPriority w:val="0"/>
    <w:pPr>
      <w:adjustRightInd w:val="0"/>
      <w:jc w:val="center"/>
      <w:textAlignment w:val="baseline"/>
    </w:pPr>
  </w:style>
  <w:style w:type="paragraph" w:customStyle="1" w:styleId="226">
    <w:name w:val="xl82"/>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left"/>
      <w:textAlignment w:val="center"/>
    </w:pPr>
    <w:rPr>
      <w:rFonts w:hAnsi="宋体"/>
    </w:rPr>
  </w:style>
  <w:style w:type="paragraph" w:customStyle="1" w:styleId="227">
    <w:name w:val="xl52"/>
    <w:basedOn w:val="1"/>
    <w:autoRedefine/>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228">
    <w:name w:val="正文文本缩进 31"/>
    <w:basedOn w:val="1"/>
    <w:autoRedefine/>
    <w:qFormat/>
    <w:uiPriority w:val="0"/>
    <w:pPr>
      <w:adjustRightInd w:val="0"/>
      <w:spacing w:line="360" w:lineRule="auto"/>
      <w:ind w:firstLine="567"/>
      <w:jc w:val="left"/>
      <w:textAlignment w:val="baseline"/>
    </w:pPr>
  </w:style>
  <w:style w:type="paragraph" w:customStyle="1" w:styleId="229">
    <w:name w:val="方框图文字"/>
    <w:basedOn w:val="1"/>
    <w:autoRedefine/>
    <w:qFormat/>
    <w:uiPriority w:val="0"/>
    <w:pPr>
      <w:spacing w:line="0" w:lineRule="atLeast"/>
      <w:jc w:val="center"/>
    </w:pPr>
    <w:rPr>
      <w:sz w:val="15"/>
      <w:szCs w:val="21"/>
    </w:rPr>
  </w:style>
  <w:style w:type="paragraph" w:customStyle="1" w:styleId="230">
    <w:name w:val="xl78"/>
    <w:basedOn w:val="1"/>
    <w:autoRedefine/>
    <w:qFormat/>
    <w:uiPriority w:val="0"/>
    <w:pPr>
      <w:widowControl/>
      <w:pBdr>
        <w:top w:val="single" w:color="auto" w:sz="4" w:space="0"/>
        <w:left w:val="single" w:color="auto" w:sz="8" w:space="0"/>
        <w:bottom w:val="single" w:color="auto" w:sz="8" w:space="0"/>
        <w:right w:val="single" w:color="auto" w:sz="4" w:space="0"/>
      </w:pBdr>
      <w:spacing w:beforeAutospacing="1" w:afterAutospacing="1"/>
      <w:jc w:val="center"/>
      <w:textAlignment w:val="center"/>
    </w:pPr>
    <w:rPr>
      <w:rFonts w:hAnsi="宋体"/>
    </w:rPr>
  </w:style>
  <w:style w:type="paragraph" w:customStyle="1" w:styleId="231">
    <w:name w:val="表文字"/>
    <w:next w:val="1"/>
    <w:autoRedefine/>
    <w:qFormat/>
    <w:uiPriority w:val="0"/>
    <w:pPr>
      <w:spacing w:line="360" w:lineRule="auto"/>
      <w:jc w:val="center"/>
    </w:pPr>
    <w:rPr>
      <w:rFonts w:ascii="Arial" w:hAnsi="Arial" w:eastAsia="宋体" w:cs="Times New Roman"/>
      <w:sz w:val="21"/>
      <w:lang w:val="en-US" w:eastAsia="zh-CN" w:bidi="ar-SA"/>
    </w:rPr>
  </w:style>
  <w:style w:type="paragraph" w:customStyle="1" w:styleId="232">
    <w:name w:val="正文文本 Char Char"/>
    <w:basedOn w:val="1"/>
    <w:link w:val="270"/>
    <w:autoRedefine/>
    <w:unhideWhenUsed/>
    <w:qFormat/>
    <w:uiPriority w:val="99"/>
    <w:pPr>
      <w:shd w:val="clear" w:color="auto" w:fill="FFFFFF"/>
      <w:spacing w:line="713" w:lineRule="exact"/>
      <w:ind w:firstLine="580"/>
      <w:jc w:val="distribute"/>
    </w:pPr>
    <w:rPr>
      <w:rFonts w:hint="eastAsia" w:ascii="MingLiU" w:hAnsi="MingLiU" w:eastAsia="MingLiU"/>
      <w:sz w:val="29"/>
    </w:rPr>
  </w:style>
  <w:style w:type="paragraph" w:customStyle="1" w:styleId="233">
    <w:name w:val="xl88"/>
    <w:basedOn w:val="1"/>
    <w:autoRedefine/>
    <w:qFormat/>
    <w:uiPriority w:val="0"/>
    <w:pPr>
      <w:widowControl/>
      <w:pBdr>
        <w:left w:val="single" w:color="auto" w:sz="4" w:space="0"/>
        <w:right w:val="single" w:color="auto" w:sz="8" w:space="0"/>
      </w:pBdr>
      <w:spacing w:beforeAutospacing="1" w:afterAutospacing="1"/>
      <w:jc w:val="center"/>
      <w:textAlignment w:val="center"/>
    </w:pPr>
    <w:rPr>
      <w:rFonts w:hint="eastAsia" w:hAnsi="宋体"/>
    </w:rPr>
  </w:style>
  <w:style w:type="paragraph" w:customStyle="1" w:styleId="234">
    <w:name w:val="样式 四号 行距: 1.5 倍行距"/>
    <w:basedOn w:val="1"/>
    <w:autoRedefine/>
    <w:qFormat/>
    <w:uiPriority w:val="0"/>
    <w:pPr>
      <w:spacing w:line="360" w:lineRule="auto"/>
      <w:ind w:firstLine="560" w:firstLineChars="200"/>
    </w:pPr>
  </w:style>
  <w:style w:type="paragraph" w:customStyle="1" w:styleId="235">
    <w:name w:val="样式 四号 首行缩进:  1.06 厘米 行距: 1.5 倍行距"/>
    <w:basedOn w:val="1"/>
    <w:autoRedefine/>
    <w:qFormat/>
    <w:uiPriority w:val="0"/>
    <w:pPr>
      <w:spacing w:line="360" w:lineRule="auto"/>
      <w:ind w:firstLine="600"/>
    </w:pPr>
  </w:style>
  <w:style w:type="paragraph" w:customStyle="1" w:styleId="236">
    <w:name w:val="样式 正文文本缩进 + 四号 行距: 固定值 25 磅"/>
    <w:basedOn w:val="23"/>
    <w:autoRedefine/>
    <w:qFormat/>
    <w:uiPriority w:val="0"/>
    <w:pPr>
      <w:spacing w:line="500" w:lineRule="exact"/>
      <w:ind w:left="0" w:leftChars="0" w:firstLine="538" w:firstLineChars="192"/>
    </w:pPr>
  </w:style>
  <w:style w:type="paragraph" w:customStyle="1" w:styleId="237">
    <w:name w:val="xl67"/>
    <w:basedOn w:val="1"/>
    <w:autoRedefine/>
    <w:qFormat/>
    <w:uiPriority w:val="0"/>
    <w:pPr>
      <w:widowControl/>
      <w:pBdr>
        <w:top w:val="single" w:color="auto" w:sz="4" w:space="0"/>
        <w:left w:val="single" w:color="auto" w:sz="4" w:space="0"/>
        <w:right w:val="single" w:color="auto" w:sz="4" w:space="0"/>
      </w:pBdr>
      <w:spacing w:beforeAutospacing="1" w:afterAutospacing="1"/>
      <w:jc w:val="left"/>
      <w:textAlignment w:val="center"/>
    </w:pPr>
    <w:rPr>
      <w:rFonts w:hint="eastAsia" w:hAnsi="宋体"/>
    </w:rPr>
  </w:style>
  <w:style w:type="paragraph" w:customStyle="1" w:styleId="238">
    <w:name w:val="报告正文"/>
    <w:basedOn w:val="1"/>
    <w:autoRedefine/>
    <w:qFormat/>
    <w:uiPriority w:val="0"/>
    <w:pPr>
      <w:spacing w:line="360" w:lineRule="auto"/>
      <w:ind w:firstLine="480" w:firstLineChars="200"/>
    </w:pPr>
    <w:rPr>
      <w:rFonts w:hAnsi="宋体"/>
    </w:rPr>
  </w:style>
  <w:style w:type="paragraph" w:customStyle="1" w:styleId="239">
    <w:name w:val="Body Text 22"/>
    <w:basedOn w:val="1"/>
    <w:autoRedefine/>
    <w:qFormat/>
    <w:uiPriority w:val="0"/>
    <w:pPr>
      <w:wordWrap w:val="0"/>
      <w:overflowPunct w:val="0"/>
      <w:autoSpaceDE w:val="0"/>
      <w:autoSpaceDN w:val="0"/>
      <w:adjustRightInd w:val="0"/>
      <w:spacing w:line="480" w:lineRule="exact"/>
      <w:ind w:firstLine="600"/>
      <w:jc w:val="left"/>
      <w:textAlignment w:val="baseline"/>
    </w:pPr>
    <w:rPr>
      <w:color w:val="000000"/>
      <w:sz w:val="28"/>
      <w:szCs w:val="28"/>
    </w:rPr>
  </w:style>
  <w:style w:type="paragraph" w:customStyle="1" w:styleId="240">
    <w:name w:val="font7"/>
    <w:basedOn w:val="1"/>
    <w:autoRedefine/>
    <w:qFormat/>
    <w:uiPriority w:val="0"/>
    <w:pPr>
      <w:widowControl/>
      <w:spacing w:beforeAutospacing="1" w:afterAutospacing="1"/>
      <w:jc w:val="left"/>
    </w:pPr>
    <w:rPr>
      <w:rFonts w:hint="eastAsia" w:hAnsi="宋体"/>
      <w:color w:val="0000FF"/>
    </w:rPr>
  </w:style>
  <w:style w:type="paragraph" w:customStyle="1" w:styleId="241">
    <w:name w:val="xl25"/>
    <w:basedOn w:val="1"/>
    <w:autoRedefine/>
    <w:qFormat/>
    <w:uiPriority w:val="0"/>
    <w:pPr>
      <w:widowControl/>
      <w:spacing w:beforeAutospacing="1" w:afterAutospacing="1"/>
      <w:jc w:val="left"/>
      <w:textAlignment w:val="center"/>
    </w:pPr>
    <w:rPr>
      <w:rFonts w:ascii="Arial Unicode MS" w:hAnsi="Arial Unicode MS" w:eastAsia="Arial Unicode MS"/>
      <w:color w:val="0000FF"/>
    </w:rPr>
  </w:style>
  <w:style w:type="paragraph" w:customStyle="1" w:styleId="242">
    <w:name w:val="Char Char Char1"/>
    <w:basedOn w:val="1"/>
    <w:next w:val="2"/>
    <w:autoRedefine/>
    <w:qFormat/>
    <w:uiPriority w:val="0"/>
    <w:rPr>
      <w:sz w:val="28"/>
      <w:szCs w:val="28"/>
    </w:rPr>
  </w:style>
  <w:style w:type="paragraph" w:customStyle="1" w:styleId="243">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eastAsia="Arial Unicode MS"/>
      <w:color w:val="0000FF"/>
      <w:sz w:val="20"/>
    </w:rPr>
  </w:style>
  <w:style w:type="paragraph" w:customStyle="1" w:styleId="244">
    <w:name w:val="前言、引言标题"/>
    <w:next w:val="1"/>
    <w:autoRedefine/>
    <w:qFormat/>
    <w:uiPriority w:val="0"/>
    <w:pPr>
      <w:numPr>
        <w:ilvl w:val="0"/>
        <w:numId w:val="1"/>
      </w:numPr>
      <w:shd w:val="clear" w:color="FFFFFF" w:fill="FFFFFF"/>
      <w:tabs>
        <w:tab w:val="left" w:pos="360"/>
        <w:tab w:val="clear" w:pos="0"/>
      </w:tabs>
      <w:jc w:val="center"/>
      <w:outlineLvl w:val="0"/>
    </w:pPr>
    <w:rPr>
      <w:rFonts w:ascii="黑体" w:hAnsi="Times New Roman" w:eastAsia="黑体" w:cs="Times New Roman"/>
      <w:sz w:val="32"/>
      <w:lang w:val="en-US" w:eastAsia="zh-CN" w:bidi="ar-SA"/>
    </w:rPr>
  </w:style>
  <w:style w:type="paragraph" w:customStyle="1" w:styleId="245">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246">
    <w:name w:val="xl54"/>
    <w:basedOn w:val="1"/>
    <w:autoRedefine/>
    <w:qFormat/>
    <w:uiPriority w:val="0"/>
    <w:pPr>
      <w:widowControl/>
      <w:pBdr>
        <w:top w:val="single" w:color="auto" w:sz="4" w:space="0"/>
        <w:left w:val="single" w:color="auto" w:sz="4" w:space="0"/>
        <w:bottom w:val="single" w:color="auto" w:sz="4" w:space="0"/>
        <w:right w:val="single" w:color="auto" w:sz="8" w:space="0"/>
      </w:pBdr>
      <w:spacing w:beforeAutospacing="1" w:afterAutospacing="1"/>
      <w:jc w:val="left"/>
      <w:textAlignment w:val="center"/>
    </w:pPr>
    <w:rPr>
      <w:rFonts w:hint="eastAsia" w:hAnsi="宋体"/>
    </w:rPr>
  </w:style>
  <w:style w:type="paragraph" w:customStyle="1" w:styleId="247">
    <w:name w:val="表格04"/>
    <w:basedOn w:val="1"/>
    <w:autoRedefine/>
    <w:qFormat/>
    <w:uiPriority w:val="0"/>
    <w:pPr>
      <w:spacing w:line="360" w:lineRule="exact"/>
      <w:jc w:val="center"/>
    </w:pPr>
    <w:rPr>
      <w:rFonts w:cs="宋体"/>
      <w:snapToGrid w:val="0"/>
      <w:sz w:val="18"/>
      <w:szCs w:val="18"/>
    </w:rPr>
  </w:style>
  <w:style w:type="paragraph" w:customStyle="1" w:styleId="248">
    <w:name w:val="xl91"/>
    <w:basedOn w:val="1"/>
    <w:autoRedefine/>
    <w:qFormat/>
    <w:uiPriority w:val="0"/>
    <w:pPr>
      <w:widowControl/>
      <w:spacing w:beforeAutospacing="1" w:afterAutospacing="1"/>
      <w:jc w:val="center"/>
      <w:textAlignment w:val="top"/>
    </w:pPr>
    <w:rPr>
      <w:rFonts w:hint="eastAsia" w:hAnsi="宋体"/>
      <w:b/>
      <w:bCs/>
      <w:sz w:val="32"/>
      <w:szCs w:val="32"/>
    </w:rPr>
  </w:style>
  <w:style w:type="paragraph" w:customStyle="1" w:styleId="249">
    <w:name w:val="默认段落字体 Para Char Char Char Char"/>
    <w:basedOn w:val="1"/>
    <w:autoRedefine/>
    <w:qFormat/>
    <w:uiPriority w:val="0"/>
    <w:rPr>
      <w:rFonts w:eastAsia="Times New Roman"/>
      <w:sz w:val="20"/>
    </w:rPr>
  </w:style>
  <w:style w:type="paragraph" w:customStyle="1" w:styleId="250">
    <w:name w:val="样式 四号 黑色 首行缩进:  0.99 厘米 行距: 1.5 倍行距"/>
    <w:basedOn w:val="1"/>
    <w:autoRedefine/>
    <w:qFormat/>
    <w:uiPriority w:val="0"/>
    <w:pPr>
      <w:spacing w:line="360" w:lineRule="auto"/>
      <w:ind w:firstLine="560"/>
    </w:pPr>
    <w:rPr>
      <w:color w:val="000000"/>
    </w:rPr>
  </w:style>
  <w:style w:type="paragraph" w:customStyle="1" w:styleId="251">
    <w:name w:val="xl61"/>
    <w:basedOn w:val="1"/>
    <w:autoRedefine/>
    <w:qFormat/>
    <w:uiPriority w:val="0"/>
    <w:pPr>
      <w:widowControl/>
      <w:pBdr>
        <w:left w:val="single" w:color="auto" w:sz="8" w:space="0"/>
        <w:bottom w:val="single" w:color="auto" w:sz="4" w:space="0"/>
        <w:right w:val="single" w:color="auto" w:sz="4" w:space="0"/>
      </w:pBdr>
      <w:spacing w:beforeAutospacing="1" w:afterAutospacing="1"/>
      <w:jc w:val="center"/>
      <w:textAlignment w:val="center"/>
    </w:pPr>
    <w:rPr>
      <w:rFonts w:hAnsi="宋体"/>
      <w:sz w:val="28"/>
      <w:szCs w:val="28"/>
    </w:rPr>
  </w:style>
  <w:style w:type="paragraph" w:customStyle="1" w:styleId="252">
    <w:name w:val="样式 四号 段后: 6 磅 行距: 1.5 倍行距"/>
    <w:basedOn w:val="1"/>
    <w:autoRedefine/>
    <w:qFormat/>
    <w:uiPriority w:val="0"/>
    <w:pPr>
      <w:spacing w:line="360" w:lineRule="auto"/>
      <w:ind w:firstLine="560" w:firstLineChars="200"/>
    </w:pPr>
  </w:style>
  <w:style w:type="paragraph" w:customStyle="1" w:styleId="253">
    <w:name w:val="font5"/>
    <w:basedOn w:val="1"/>
    <w:autoRedefine/>
    <w:qFormat/>
    <w:uiPriority w:val="0"/>
    <w:pPr>
      <w:widowControl/>
      <w:spacing w:beforeAutospacing="1" w:afterAutospacing="1"/>
      <w:jc w:val="left"/>
    </w:pPr>
    <w:rPr>
      <w:rFonts w:hint="eastAsia" w:hAnsi="宋体"/>
      <w:sz w:val="18"/>
      <w:szCs w:val="18"/>
    </w:rPr>
  </w:style>
  <w:style w:type="paragraph" w:customStyle="1" w:styleId="254">
    <w:name w:val="正文文本格式"/>
    <w:basedOn w:val="1"/>
    <w:autoRedefine/>
    <w:qFormat/>
    <w:uiPriority w:val="0"/>
    <w:pPr>
      <w:adjustRightInd w:val="0"/>
      <w:snapToGrid w:val="0"/>
      <w:spacing w:line="480" w:lineRule="exact"/>
      <w:ind w:firstLine="567"/>
    </w:pPr>
    <w:rPr>
      <w:snapToGrid w:val="0"/>
      <w:sz w:val="28"/>
      <w:szCs w:val="28"/>
    </w:rPr>
  </w:style>
  <w:style w:type="paragraph" w:customStyle="1" w:styleId="255">
    <w:name w:val="xl49"/>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256">
    <w:name w:val="样式 四号 黑色 行距: 1.5 倍行距1"/>
    <w:basedOn w:val="1"/>
    <w:autoRedefine/>
    <w:qFormat/>
    <w:uiPriority w:val="0"/>
    <w:pPr>
      <w:spacing w:line="360" w:lineRule="auto"/>
    </w:pPr>
    <w:rPr>
      <w:color w:val="000000"/>
    </w:rPr>
  </w:style>
  <w:style w:type="paragraph" w:customStyle="1" w:styleId="257">
    <w:name w:val="xl46"/>
    <w:basedOn w:val="1"/>
    <w:autoRedefine/>
    <w:qFormat/>
    <w:uiPriority w:val="0"/>
    <w:pPr>
      <w:widowControl/>
      <w:pBdr>
        <w:top w:val="single" w:color="auto" w:sz="4" w:space="0"/>
        <w:left w:val="single" w:color="auto" w:sz="4" w:space="0"/>
        <w:bottom w:val="single" w:color="auto" w:sz="4" w:space="0"/>
        <w:right w:val="single" w:color="auto" w:sz="8" w:space="0"/>
      </w:pBdr>
      <w:spacing w:beforeAutospacing="1" w:afterAutospacing="1"/>
      <w:jc w:val="left"/>
      <w:textAlignment w:val="center"/>
    </w:pPr>
    <w:rPr>
      <w:rFonts w:hint="eastAsia" w:hAnsi="宋体"/>
    </w:rPr>
  </w:style>
  <w:style w:type="paragraph" w:customStyle="1" w:styleId="258">
    <w:name w:val="xl48"/>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pPr>
    <w:rPr>
      <w:rFonts w:hAnsi="宋体"/>
    </w:rPr>
  </w:style>
  <w:style w:type="paragraph" w:customStyle="1" w:styleId="259">
    <w:name w:val="Body Text 21"/>
    <w:basedOn w:val="1"/>
    <w:autoRedefine/>
    <w:qFormat/>
    <w:uiPriority w:val="0"/>
    <w:pPr>
      <w:autoSpaceDE w:val="0"/>
      <w:autoSpaceDN w:val="0"/>
      <w:adjustRightInd w:val="0"/>
      <w:spacing w:line="500" w:lineRule="atLeast"/>
      <w:ind w:firstLine="480"/>
      <w:jc w:val="left"/>
      <w:textAlignment w:val="bottom"/>
    </w:pPr>
    <w:rPr>
      <w:sz w:val="28"/>
    </w:rPr>
  </w:style>
  <w:style w:type="paragraph" w:customStyle="1" w:styleId="260">
    <w:name w:val="样式 四号 首行缩进:  0.75 厘米 行距: 1.5 倍行距"/>
    <w:basedOn w:val="1"/>
    <w:autoRedefine/>
    <w:qFormat/>
    <w:uiPriority w:val="0"/>
    <w:pPr>
      <w:spacing w:line="360" w:lineRule="auto"/>
      <w:ind w:firstLine="425"/>
    </w:pPr>
  </w:style>
  <w:style w:type="paragraph" w:customStyle="1" w:styleId="261">
    <w:name w:val="正文文本 21"/>
    <w:basedOn w:val="1"/>
    <w:autoRedefine/>
    <w:qFormat/>
    <w:uiPriority w:val="0"/>
    <w:pPr>
      <w:widowControl/>
      <w:adjustRightInd w:val="0"/>
      <w:spacing w:line="360" w:lineRule="auto"/>
      <w:ind w:right="-1" w:firstLine="615"/>
      <w:jc w:val="left"/>
      <w:textAlignment w:val="baseline"/>
    </w:pPr>
    <w:rPr>
      <w:spacing w:val="8"/>
      <w:sz w:val="28"/>
    </w:rPr>
  </w:style>
  <w:style w:type="paragraph" w:customStyle="1" w:styleId="262">
    <w:name w:val="五级条标题"/>
    <w:basedOn w:val="74"/>
    <w:next w:val="5"/>
    <w:autoRedefine/>
    <w:qFormat/>
    <w:uiPriority w:val="0"/>
  </w:style>
  <w:style w:type="paragraph" w:customStyle="1" w:styleId="263">
    <w:name w:val="样式 四号 左侧:  1 厘米 行距: 1.5 倍行距"/>
    <w:basedOn w:val="1"/>
    <w:autoRedefine/>
    <w:qFormat/>
    <w:uiPriority w:val="0"/>
    <w:pPr>
      <w:spacing w:line="360" w:lineRule="auto"/>
      <w:ind w:left="567"/>
    </w:pPr>
  </w:style>
  <w:style w:type="paragraph" w:customStyle="1" w:styleId="264">
    <w:name w:val="正文+段落"/>
    <w:basedOn w:val="202"/>
    <w:link w:val="323"/>
    <w:autoRedefine/>
    <w:qFormat/>
    <w:uiPriority w:val="0"/>
    <w:pPr>
      <w:ind w:firstLine="480"/>
    </w:pPr>
  </w:style>
  <w:style w:type="paragraph" w:customStyle="1" w:styleId="265">
    <w:name w:val="肖-正文-缩2"/>
    <w:basedOn w:val="1"/>
    <w:autoRedefine/>
    <w:qFormat/>
    <w:uiPriority w:val="0"/>
    <w:pPr>
      <w:spacing w:line="500" w:lineRule="exact"/>
      <w:ind w:firstLine="200" w:firstLineChars="200"/>
    </w:pPr>
    <w:rPr>
      <w:rFonts w:hAnsi="宋体" w:cs="宋体"/>
      <w:color w:val="000000"/>
    </w:rPr>
  </w:style>
  <w:style w:type="paragraph" w:customStyle="1" w:styleId="266">
    <w:name w:val="xl90"/>
    <w:basedOn w:val="1"/>
    <w:autoRedefine/>
    <w:qFormat/>
    <w:uiPriority w:val="0"/>
    <w:pPr>
      <w:widowControl/>
      <w:pBdr>
        <w:left w:val="single" w:color="auto" w:sz="4" w:space="0"/>
        <w:right w:val="single" w:color="auto" w:sz="8" w:space="0"/>
      </w:pBdr>
      <w:spacing w:beforeAutospacing="1" w:afterAutospacing="1"/>
      <w:jc w:val="center"/>
      <w:textAlignment w:val="center"/>
    </w:pPr>
    <w:rPr>
      <w:rFonts w:hint="eastAsia" w:hAnsi="宋体"/>
    </w:rPr>
  </w:style>
  <w:style w:type="character" w:customStyle="1" w:styleId="267">
    <w:name w:val="h2 Char"/>
    <w:basedOn w:val="53"/>
    <w:autoRedefine/>
    <w:qFormat/>
    <w:uiPriority w:val="0"/>
    <w:rPr>
      <w:rFonts w:ascii="Arial" w:hAnsi="Arial" w:eastAsia="黑体"/>
      <w:b/>
      <w:bCs/>
      <w:kern w:val="2"/>
      <w:sz w:val="32"/>
      <w:szCs w:val="32"/>
      <w:lang w:val="en-US" w:eastAsia="zh-CN" w:bidi="ar-SA"/>
    </w:rPr>
  </w:style>
  <w:style w:type="character" w:customStyle="1" w:styleId="268">
    <w:name w:val="纯文本 Char"/>
    <w:link w:val="28"/>
    <w:autoRedefine/>
    <w:qFormat/>
    <w:uiPriority w:val="0"/>
    <w:rPr>
      <w:rFonts w:ascii="宋体" w:hAnsi="Courier New"/>
      <w:kern w:val="2"/>
      <w:sz w:val="28"/>
    </w:rPr>
  </w:style>
  <w:style w:type="character" w:customStyle="1" w:styleId="269">
    <w:name w:val="正文文本 + Angsana New"/>
    <w:basedOn w:val="270"/>
    <w:autoRedefine/>
    <w:unhideWhenUsed/>
    <w:qFormat/>
    <w:uiPriority w:val="99"/>
    <w:rPr>
      <w:rFonts w:hint="eastAsia" w:ascii="Angsana New" w:hAnsi="Angsana New" w:eastAsia="Angsana New"/>
      <w:sz w:val="70"/>
    </w:rPr>
  </w:style>
  <w:style w:type="character" w:customStyle="1" w:styleId="270">
    <w:name w:val="正文文本_"/>
    <w:basedOn w:val="53"/>
    <w:link w:val="232"/>
    <w:autoRedefine/>
    <w:unhideWhenUsed/>
    <w:qFormat/>
    <w:uiPriority w:val="99"/>
    <w:rPr>
      <w:rFonts w:hint="eastAsia" w:ascii="MingLiU" w:hAnsi="MingLiU" w:eastAsia="MingLiU"/>
      <w:sz w:val="29"/>
    </w:rPr>
  </w:style>
  <w:style w:type="character" w:customStyle="1" w:styleId="271">
    <w:name w:val="unnamed11"/>
    <w:basedOn w:val="53"/>
    <w:autoRedefine/>
    <w:qFormat/>
    <w:uiPriority w:val="0"/>
  </w:style>
  <w:style w:type="character" w:customStyle="1" w:styleId="272">
    <w:name w:val="正文缩进 Char"/>
    <w:link w:val="9"/>
    <w:autoRedefine/>
    <w:qFormat/>
    <w:uiPriority w:val="0"/>
    <w:rPr>
      <w:rFonts w:eastAsia="宋体"/>
      <w:kern w:val="2"/>
      <w:sz w:val="21"/>
      <w:szCs w:val="24"/>
      <w:lang w:val="en-US" w:eastAsia="zh-CN" w:bidi="ar-SA"/>
    </w:rPr>
  </w:style>
  <w:style w:type="character" w:customStyle="1" w:styleId="273">
    <w:name w:val="样式 样式 首行缩进:  0.8厘米 + 右侧:  2 字符 Char Char"/>
    <w:basedOn w:val="274"/>
    <w:link w:val="87"/>
    <w:autoRedefine/>
    <w:qFormat/>
    <w:uiPriority w:val="0"/>
    <w:rPr>
      <w:rFonts w:eastAsia="宋体"/>
      <w:snapToGrid w:val="0"/>
      <w:sz w:val="24"/>
      <w:lang w:val="en-US" w:eastAsia="zh-CN" w:bidi="ar-SA"/>
    </w:rPr>
  </w:style>
  <w:style w:type="character" w:customStyle="1" w:styleId="274">
    <w:name w:val="样式 首行缩进:  0.8厘米 Char Char"/>
    <w:basedOn w:val="53"/>
    <w:link w:val="88"/>
    <w:autoRedefine/>
    <w:qFormat/>
    <w:uiPriority w:val="0"/>
    <w:rPr>
      <w:rFonts w:eastAsia="宋体"/>
      <w:snapToGrid w:val="0"/>
      <w:sz w:val="24"/>
      <w:lang w:val="en-US" w:eastAsia="zh-CN" w:bidi="ar-SA"/>
    </w:rPr>
  </w:style>
  <w:style w:type="character" w:customStyle="1" w:styleId="275">
    <w:name w:val="标题 2 Char1 Char Char Char"/>
    <w:basedOn w:val="53"/>
    <w:autoRedefine/>
    <w:qFormat/>
    <w:uiPriority w:val="0"/>
    <w:rPr>
      <w:rFonts w:ascii="Arial" w:hAnsi="Arial" w:eastAsia="黑体"/>
      <w:b/>
      <w:bCs/>
      <w:kern w:val="2"/>
      <w:sz w:val="32"/>
      <w:szCs w:val="32"/>
      <w:lang w:val="en-US" w:eastAsia="zh-CN" w:bidi="ar-SA"/>
    </w:rPr>
  </w:style>
  <w:style w:type="character" w:customStyle="1" w:styleId="276">
    <w:name w:val="p21"/>
    <w:basedOn w:val="53"/>
    <w:autoRedefine/>
    <w:qFormat/>
    <w:uiPriority w:val="0"/>
    <w:rPr>
      <w:sz w:val="18"/>
      <w:szCs w:val="18"/>
    </w:rPr>
  </w:style>
  <w:style w:type="character" w:customStyle="1" w:styleId="277">
    <w:name w:val="正文 Char Char"/>
    <w:link w:val="216"/>
    <w:autoRedefine/>
    <w:qFormat/>
    <w:uiPriority w:val="0"/>
    <w:rPr>
      <w:rFonts w:cs="宋体"/>
      <w:kern w:val="2"/>
      <w:sz w:val="28"/>
      <w:szCs w:val="28"/>
    </w:rPr>
  </w:style>
  <w:style w:type="character" w:customStyle="1" w:styleId="278">
    <w:name w:val="日期 Char"/>
    <w:link w:val="30"/>
    <w:autoRedefine/>
    <w:qFormat/>
    <w:uiPriority w:val="0"/>
    <w:rPr>
      <w:sz w:val="24"/>
    </w:rPr>
  </w:style>
  <w:style w:type="character" w:customStyle="1" w:styleId="279">
    <w:name w:val="样式 四号2"/>
    <w:basedOn w:val="53"/>
    <w:autoRedefine/>
    <w:qFormat/>
    <w:uiPriority w:val="0"/>
    <w:rPr>
      <w:sz w:val="24"/>
    </w:rPr>
  </w:style>
  <w:style w:type="character" w:customStyle="1" w:styleId="280">
    <w:name w:val="款标题1.1.1.1 Char"/>
    <w:basedOn w:val="53"/>
    <w:autoRedefine/>
    <w:qFormat/>
    <w:uiPriority w:val="0"/>
    <w:rPr>
      <w:rFonts w:ascii="Arial" w:hAnsi="Arial" w:eastAsia="黑体"/>
      <w:b/>
      <w:bCs/>
      <w:kern w:val="2"/>
      <w:sz w:val="28"/>
      <w:szCs w:val="28"/>
      <w:lang w:val="en-US" w:eastAsia="zh-CN" w:bidi="ar-SA"/>
    </w:rPr>
  </w:style>
  <w:style w:type="character" w:customStyle="1" w:styleId="281">
    <w:name w:val="样式 宋体 四号 黑色1"/>
    <w:basedOn w:val="53"/>
    <w:autoRedefine/>
    <w:qFormat/>
    <w:uiPriority w:val="0"/>
    <w:rPr>
      <w:rFonts w:ascii="宋体" w:hAnsi="宋体"/>
      <w:color w:val="000000"/>
      <w:sz w:val="24"/>
    </w:rPr>
  </w:style>
  <w:style w:type="character" w:customStyle="1" w:styleId="282">
    <w:name w:val="article1"/>
    <w:basedOn w:val="53"/>
    <w:autoRedefine/>
    <w:qFormat/>
    <w:uiPriority w:val="0"/>
    <w:rPr>
      <w:b/>
      <w:bCs/>
      <w:smallCaps/>
      <w:color w:val="FF0000"/>
      <w:sz w:val="43"/>
      <w:szCs w:val="43"/>
    </w:rPr>
  </w:style>
  <w:style w:type="character" w:customStyle="1" w:styleId="283">
    <w:name w:val="正文3 Char Char"/>
    <w:link w:val="100"/>
    <w:autoRedefine/>
    <w:qFormat/>
    <w:uiPriority w:val="0"/>
    <w:rPr>
      <w:rFonts w:cs="宋体"/>
      <w:kern w:val="2"/>
      <w:sz w:val="28"/>
      <w:szCs w:val="28"/>
    </w:rPr>
  </w:style>
  <w:style w:type="character" w:customStyle="1" w:styleId="284">
    <w:name w:val="正文文本 Char"/>
    <w:basedOn w:val="53"/>
    <w:link w:val="22"/>
    <w:autoRedefine/>
    <w:qFormat/>
    <w:uiPriority w:val="0"/>
    <w:rPr>
      <w:rFonts w:eastAsia="宋体"/>
      <w:kern w:val="2"/>
      <w:sz w:val="21"/>
      <w:szCs w:val="24"/>
      <w:lang w:val="en-US" w:eastAsia="zh-CN" w:bidi="ar-SA"/>
    </w:rPr>
  </w:style>
  <w:style w:type="character" w:customStyle="1" w:styleId="285">
    <w:name w:val="标题 2 Char"/>
    <w:link w:val="4"/>
    <w:autoRedefine/>
    <w:qFormat/>
    <w:uiPriority w:val="0"/>
    <w:rPr>
      <w:rFonts w:ascii="楷体" w:hAnsi="楷体" w:eastAsia="楷体"/>
      <w:b/>
      <w:bCs/>
      <w:sz w:val="32"/>
      <w:szCs w:val="32"/>
    </w:rPr>
  </w:style>
  <w:style w:type="character" w:customStyle="1" w:styleId="286">
    <w:name w:val="ttitle1"/>
    <w:autoRedefine/>
    <w:qFormat/>
    <w:uiPriority w:val="0"/>
    <w:rPr>
      <w:spacing w:val="120"/>
      <w:sz w:val="21"/>
      <w:szCs w:val="21"/>
    </w:rPr>
  </w:style>
  <w:style w:type="character" w:customStyle="1" w:styleId="287">
    <w:name w:val="标题 1 Char"/>
    <w:basedOn w:val="53"/>
    <w:link w:val="3"/>
    <w:autoRedefine/>
    <w:qFormat/>
    <w:uiPriority w:val="0"/>
    <w:rPr>
      <w:rFonts w:ascii="黑体" w:hAnsi="黑体" w:eastAsia="黑体"/>
      <w:b/>
      <w:bCs/>
      <w:kern w:val="44"/>
      <w:sz w:val="36"/>
      <w:szCs w:val="36"/>
    </w:rPr>
  </w:style>
  <w:style w:type="character" w:customStyle="1" w:styleId="288">
    <w:name w:val="样式 宋体 四号 黑色2"/>
    <w:basedOn w:val="53"/>
    <w:autoRedefine/>
    <w:qFormat/>
    <w:uiPriority w:val="0"/>
    <w:rPr>
      <w:rFonts w:ascii="宋体" w:hAnsi="宋体"/>
      <w:color w:val="000000"/>
      <w:sz w:val="24"/>
    </w:rPr>
  </w:style>
  <w:style w:type="character" w:customStyle="1" w:styleId="289">
    <w:name w:val="样式 样式 样式 首行缩进:  0.8厘米 + 右侧:  2 字符 + 左侧:  2 字符 Char Char"/>
    <w:basedOn w:val="273"/>
    <w:link w:val="202"/>
    <w:autoRedefine/>
    <w:qFormat/>
    <w:uiPriority w:val="0"/>
    <w:rPr>
      <w:rFonts w:eastAsia="宋体"/>
      <w:snapToGrid w:val="0"/>
      <w:sz w:val="24"/>
      <w:lang w:val="en-US" w:eastAsia="zh-CN" w:bidi="ar-SA"/>
    </w:rPr>
  </w:style>
  <w:style w:type="character" w:customStyle="1" w:styleId="290">
    <w:name w:val="font21"/>
    <w:autoRedefine/>
    <w:qFormat/>
    <w:uiPriority w:val="0"/>
    <w:rPr>
      <w:rFonts w:hint="default" w:ascii="Times New Roman" w:hAnsi="Times New Roman" w:cs="Times New Roman"/>
      <w:color w:val="000000"/>
      <w:sz w:val="21"/>
      <w:szCs w:val="21"/>
      <w:u w:val="none"/>
    </w:rPr>
  </w:style>
  <w:style w:type="character" w:customStyle="1" w:styleId="291">
    <w:name w:val="样式 宋体 四号1"/>
    <w:basedOn w:val="53"/>
    <w:autoRedefine/>
    <w:qFormat/>
    <w:uiPriority w:val="0"/>
    <w:rPr>
      <w:rFonts w:ascii="宋体" w:hAnsi="宋体"/>
      <w:spacing w:val="8"/>
      <w:kern w:val="24"/>
      <w:sz w:val="24"/>
    </w:rPr>
  </w:style>
  <w:style w:type="character" w:customStyle="1" w:styleId="292">
    <w:name w:val="3 Char"/>
    <w:basedOn w:val="53"/>
    <w:autoRedefine/>
    <w:qFormat/>
    <w:uiPriority w:val="0"/>
    <w:rPr>
      <w:rFonts w:eastAsia="宋体"/>
      <w:b/>
      <w:bCs/>
      <w:kern w:val="2"/>
      <w:sz w:val="32"/>
      <w:szCs w:val="32"/>
      <w:lang w:val="en-US" w:eastAsia="zh-CN" w:bidi="ar-SA"/>
    </w:rPr>
  </w:style>
  <w:style w:type="character" w:customStyle="1" w:styleId="293">
    <w:name w:val="正文文本 3 Char"/>
    <w:link w:val="21"/>
    <w:autoRedefine/>
    <w:qFormat/>
    <w:uiPriority w:val="0"/>
    <w:rPr>
      <w:kern w:val="2"/>
      <w:sz w:val="16"/>
      <w:szCs w:val="16"/>
    </w:rPr>
  </w:style>
  <w:style w:type="character" w:customStyle="1" w:styleId="294">
    <w:name w:val="样式 宋体 四号 黑色3"/>
    <w:basedOn w:val="53"/>
    <w:autoRedefine/>
    <w:qFormat/>
    <w:uiPriority w:val="0"/>
    <w:rPr>
      <w:rFonts w:ascii="宋体" w:hAnsi="宋体"/>
      <w:color w:val="000000"/>
      <w:sz w:val="24"/>
    </w:rPr>
  </w:style>
  <w:style w:type="character" w:customStyle="1" w:styleId="295">
    <w:name w:val="标题1"/>
    <w:basedOn w:val="53"/>
    <w:autoRedefine/>
    <w:qFormat/>
    <w:uiPriority w:val="0"/>
    <w:rPr>
      <w:rFonts w:eastAsia="隶书"/>
      <w:b/>
      <w:sz w:val="44"/>
    </w:rPr>
  </w:style>
  <w:style w:type="character" w:customStyle="1" w:styleId="296">
    <w:name w:val="apple-converted-space"/>
    <w:basedOn w:val="53"/>
    <w:autoRedefine/>
    <w:qFormat/>
    <w:uiPriority w:val="0"/>
  </w:style>
  <w:style w:type="character" w:customStyle="1" w:styleId="297">
    <w:name w:val="f3"/>
    <w:basedOn w:val="53"/>
    <w:autoRedefine/>
    <w:qFormat/>
    <w:uiPriority w:val="0"/>
  </w:style>
  <w:style w:type="character" w:customStyle="1" w:styleId="298">
    <w:name w:val="keyword-span-wrap"/>
    <w:basedOn w:val="53"/>
    <w:autoRedefine/>
    <w:qFormat/>
    <w:uiPriority w:val="0"/>
    <w:rPr>
      <w:color w:val="19A97B"/>
    </w:rPr>
  </w:style>
  <w:style w:type="character" w:customStyle="1" w:styleId="299">
    <w:name w:val="正文+段落 Char Char"/>
    <w:basedOn w:val="53"/>
    <w:autoRedefine/>
    <w:qFormat/>
    <w:uiPriority w:val="0"/>
    <w:rPr>
      <w:rFonts w:eastAsia="宋体"/>
      <w:snapToGrid w:val="0"/>
      <w:sz w:val="24"/>
      <w:lang w:val="en-US" w:eastAsia="zh-CN" w:bidi="ar-SA"/>
    </w:rPr>
  </w:style>
  <w:style w:type="character" w:customStyle="1" w:styleId="300">
    <w:name w:val="样式 宋体 四号"/>
    <w:basedOn w:val="53"/>
    <w:autoRedefine/>
    <w:qFormat/>
    <w:uiPriority w:val="0"/>
    <w:rPr>
      <w:rFonts w:ascii="宋体" w:hAnsi="宋体"/>
      <w:sz w:val="24"/>
    </w:rPr>
  </w:style>
  <w:style w:type="character" w:customStyle="1" w:styleId="301">
    <w:name w:val="fn org"/>
    <w:basedOn w:val="53"/>
    <w:autoRedefine/>
    <w:qFormat/>
    <w:uiPriority w:val="0"/>
  </w:style>
  <w:style w:type="character" w:customStyle="1" w:styleId="302">
    <w:name w:val="3级标题"/>
    <w:basedOn w:val="53"/>
    <w:autoRedefine/>
    <w:qFormat/>
    <w:uiPriority w:val="0"/>
    <w:rPr>
      <w:b/>
      <w:sz w:val="28"/>
    </w:rPr>
  </w:style>
  <w:style w:type="character" w:customStyle="1" w:styleId="303">
    <w:name w:val="标题 1 Char Char"/>
    <w:basedOn w:val="53"/>
    <w:autoRedefine/>
    <w:qFormat/>
    <w:uiPriority w:val="0"/>
    <w:rPr>
      <w:rFonts w:eastAsia="宋体"/>
      <w:b/>
      <w:snapToGrid w:val="0"/>
      <w:sz w:val="32"/>
      <w:lang w:val="en-US" w:eastAsia="zh-CN"/>
    </w:rPr>
  </w:style>
  <w:style w:type="character" w:customStyle="1" w:styleId="304">
    <w:name w:val="fontstrikethrough"/>
    <w:basedOn w:val="53"/>
    <w:autoRedefine/>
    <w:qFormat/>
    <w:uiPriority w:val="0"/>
    <w:rPr>
      <w:strike/>
    </w:rPr>
  </w:style>
  <w:style w:type="character" w:customStyle="1" w:styleId="305">
    <w:name w:val="fontborder"/>
    <w:basedOn w:val="53"/>
    <w:autoRedefine/>
    <w:qFormat/>
    <w:uiPriority w:val="0"/>
    <w:rPr>
      <w:bdr w:val="single" w:color="000000" w:sz="6" w:space="0"/>
    </w:rPr>
  </w:style>
  <w:style w:type="character" w:customStyle="1" w:styleId="306">
    <w:name w:val="正文6"/>
    <w:autoRedefine/>
    <w:qFormat/>
    <w:uiPriority w:val="0"/>
    <w:rPr>
      <w:rFonts w:ascii="Times New Roman" w:hAnsi="Times New Roman" w:eastAsia="宋体"/>
      <w:spacing w:val="0"/>
      <w:w w:val="100"/>
      <w:position w:val="0"/>
      <w:sz w:val="28"/>
      <w:szCs w:val="28"/>
    </w:rPr>
  </w:style>
  <w:style w:type="character" w:customStyle="1" w:styleId="307">
    <w:name w:val="apple-style-span"/>
    <w:basedOn w:val="53"/>
    <w:autoRedefine/>
    <w:qFormat/>
    <w:uiPriority w:val="0"/>
  </w:style>
  <w:style w:type="character" w:customStyle="1" w:styleId="308">
    <w:name w:val="font11"/>
    <w:autoRedefine/>
    <w:qFormat/>
    <w:uiPriority w:val="0"/>
    <w:rPr>
      <w:rFonts w:hint="eastAsia" w:ascii="宋体" w:hAnsi="宋体" w:eastAsia="宋体"/>
      <w:color w:val="000000"/>
      <w:sz w:val="21"/>
      <w:szCs w:val="21"/>
      <w:u w:val="none"/>
    </w:rPr>
  </w:style>
  <w:style w:type="character" w:customStyle="1" w:styleId="309">
    <w:name w:val="样式 四号 黑色"/>
    <w:basedOn w:val="53"/>
    <w:autoRedefine/>
    <w:qFormat/>
    <w:uiPriority w:val="0"/>
    <w:rPr>
      <w:color w:val="000000"/>
      <w:sz w:val="24"/>
    </w:rPr>
  </w:style>
  <w:style w:type="character" w:customStyle="1" w:styleId="310">
    <w:name w:val="标题 3 Char1 Char"/>
    <w:autoRedefine/>
    <w:qFormat/>
    <w:uiPriority w:val="0"/>
    <w:rPr>
      <w:b/>
      <w:bCs/>
      <w:sz w:val="32"/>
      <w:szCs w:val="32"/>
    </w:rPr>
  </w:style>
  <w:style w:type="character" w:customStyle="1" w:styleId="311">
    <w:name w:val="样式 四号"/>
    <w:autoRedefine/>
    <w:qFormat/>
    <w:uiPriority w:val="0"/>
    <w:rPr>
      <w:rFonts w:eastAsia="宋体"/>
      <w:sz w:val="28"/>
    </w:rPr>
  </w:style>
  <w:style w:type="character" w:customStyle="1" w:styleId="312">
    <w:name w:val="标题 Char"/>
    <w:link w:val="47"/>
    <w:autoRedefine/>
    <w:qFormat/>
    <w:uiPriority w:val="0"/>
    <w:rPr>
      <w:rFonts w:eastAsia="宋体"/>
      <w:lang w:bidi="ar-SA"/>
    </w:rPr>
  </w:style>
  <w:style w:type="character" w:customStyle="1" w:styleId="313">
    <w:name w:val="样式 四号 黑色1"/>
    <w:basedOn w:val="53"/>
    <w:autoRedefine/>
    <w:qFormat/>
    <w:uiPriority w:val="0"/>
    <w:rPr>
      <w:color w:val="000000"/>
      <w:kern w:val="0"/>
      <w:sz w:val="24"/>
    </w:rPr>
  </w:style>
  <w:style w:type="character" w:customStyle="1" w:styleId="314">
    <w:name w:val="sh141"/>
    <w:autoRedefine/>
    <w:qFormat/>
    <w:uiPriority w:val="0"/>
    <w:rPr>
      <w:color w:val="2B2B2B"/>
      <w:sz w:val="21"/>
      <w:szCs w:val="21"/>
    </w:rPr>
  </w:style>
  <w:style w:type="character" w:customStyle="1" w:styleId="315">
    <w:name w:val="标题 3 Char Char"/>
    <w:basedOn w:val="53"/>
    <w:autoRedefine/>
    <w:qFormat/>
    <w:uiPriority w:val="0"/>
    <w:rPr>
      <w:rFonts w:eastAsia="宋体"/>
      <w:b/>
      <w:bCs/>
      <w:kern w:val="2"/>
      <w:sz w:val="28"/>
      <w:szCs w:val="32"/>
      <w:lang w:val="en-US" w:eastAsia="zh-CN" w:bidi="ar-SA"/>
    </w:rPr>
  </w:style>
  <w:style w:type="character" w:customStyle="1" w:styleId="316">
    <w:name w:val="正文文本 + Angsana New1"/>
    <w:basedOn w:val="270"/>
    <w:autoRedefine/>
    <w:unhideWhenUsed/>
    <w:qFormat/>
    <w:uiPriority w:val="99"/>
    <w:rPr>
      <w:rFonts w:hint="eastAsia" w:ascii="Angsana New" w:hAnsi="Angsana New" w:eastAsia="Angsana New"/>
      <w:b/>
      <w:w w:val="75"/>
      <w:sz w:val="47"/>
    </w:rPr>
  </w:style>
  <w:style w:type="character" w:customStyle="1" w:styleId="317">
    <w:name w:val="标题 4 Char"/>
    <w:link w:val="6"/>
    <w:autoRedefine/>
    <w:qFormat/>
    <w:uiPriority w:val="0"/>
    <w:rPr>
      <w:rFonts w:ascii="黑体" w:hAnsi="黑体" w:eastAsia="黑体"/>
      <w:b/>
      <w:bCs/>
      <w:kern w:val="2"/>
      <w:sz w:val="28"/>
      <w:szCs w:val="28"/>
    </w:rPr>
  </w:style>
  <w:style w:type="paragraph" w:styleId="318">
    <w:name w:val="List Paragraph"/>
    <w:basedOn w:val="1"/>
    <w:autoRedefine/>
    <w:unhideWhenUsed/>
    <w:qFormat/>
    <w:uiPriority w:val="99"/>
    <w:pPr>
      <w:ind w:firstLine="420" w:firstLineChars="200"/>
    </w:pPr>
  </w:style>
  <w:style w:type="character" w:customStyle="1" w:styleId="319">
    <w:name w:val="文档结构图 Char"/>
    <w:basedOn w:val="53"/>
    <w:link w:val="16"/>
    <w:autoRedefine/>
    <w:qFormat/>
    <w:uiPriority w:val="0"/>
    <w:rPr>
      <w:rFonts w:ascii="宋体"/>
      <w:sz w:val="18"/>
      <w:szCs w:val="18"/>
    </w:rPr>
  </w:style>
  <w:style w:type="character" w:customStyle="1" w:styleId="320">
    <w:name w:val="Page Number1"/>
    <w:autoRedefine/>
    <w:unhideWhenUsed/>
    <w:qFormat/>
    <w:uiPriority w:val="0"/>
    <w:rPr>
      <w:rFonts w:hint="default" w:ascii="Times New Roman" w:hAnsi="Times New Roman" w:eastAsia="宋体"/>
      <w:sz w:val="24"/>
    </w:rPr>
  </w:style>
  <w:style w:type="paragraph" w:customStyle="1" w:styleId="321">
    <w:name w:val="WPS Plain"/>
    <w:autoRedefine/>
    <w:qFormat/>
    <w:uiPriority w:val="0"/>
    <w:rPr>
      <w:rFonts w:ascii="Times New Roman" w:hAnsi="Times New Roman" w:eastAsia="宋体" w:cs="Times New Roman"/>
      <w:lang w:val="en-US" w:eastAsia="zh-CN" w:bidi="ar-SA"/>
    </w:rPr>
  </w:style>
  <w:style w:type="paragraph" w:customStyle="1" w:styleId="322">
    <w:name w:val="样式 首行缩进:  2 字符"/>
    <w:basedOn w:val="1"/>
    <w:autoRedefine/>
    <w:qFormat/>
    <w:uiPriority w:val="0"/>
    <w:pPr>
      <w:spacing w:line="360" w:lineRule="auto"/>
      <w:ind w:firstLine="560" w:firstLineChars="200"/>
    </w:pPr>
    <w:rPr>
      <w:rFonts w:ascii="Times New Roman" w:cs="宋体"/>
      <w:sz w:val="28"/>
    </w:rPr>
  </w:style>
  <w:style w:type="character" w:customStyle="1" w:styleId="323">
    <w:name w:val="正文+段落 Char"/>
    <w:basedOn w:val="53"/>
    <w:link w:val="264"/>
    <w:autoRedefine/>
    <w:qFormat/>
    <w:uiPriority w:val="0"/>
    <w:rPr>
      <w:rFonts w:eastAsia="宋体"/>
      <w:snapToGrid w:val="0"/>
      <w:sz w:val="24"/>
      <w:lang w:val="en-US" w:eastAsia="zh-CN" w:bidi="ar-SA"/>
    </w:rPr>
  </w:style>
  <w:style w:type="paragraph" w:customStyle="1" w:styleId="324">
    <w:name w:val="样式 标题4A"/>
    <w:basedOn w:val="6"/>
    <w:autoRedefine/>
    <w:qFormat/>
    <w:uiPriority w:val="0"/>
    <w:pPr>
      <w:spacing w:beforeLines="50" w:afterLines="50"/>
    </w:pPr>
    <w:rPr>
      <w:rFonts w:eastAsia="宋体" w:cs="宋体"/>
      <w:color w:val="000000"/>
    </w:rPr>
  </w:style>
  <w:style w:type="paragraph" w:customStyle="1" w:styleId="325">
    <w:name w:val="中文报告书"/>
    <w:basedOn w:val="1"/>
    <w:autoRedefine/>
    <w:qFormat/>
    <w:uiPriority w:val="0"/>
    <w:pPr>
      <w:adjustRightInd w:val="0"/>
      <w:spacing w:after="80" w:line="420" w:lineRule="atLeast"/>
      <w:jc w:val="left"/>
      <w:textAlignment w:val="baseline"/>
    </w:pPr>
    <w:rPr>
      <w:rFonts w:ascii="Times New Roman"/>
      <w:kern w:val="2"/>
    </w:rPr>
  </w:style>
  <w:style w:type="paragraph" w:customStyle="1" w:styleId="326">
    <w:name w:val="样式 宋体 加粗 首行缩进:  0.99 厘米 行距: 1.5 倍行距"/>
    <w:basedOn w:val="1"/>
    <w:autoRedefine/>
    <w:qFormat/>
    <w:uiPriority w:val="0"/>
    <w:pPr>
      <w:adjustRightInd w:val="0"/>
      <w:snapToGrid w:val="0"/>
      <w:spacing w:line="360" w:lineRule="auto"/>
      <w:ind w:firstLine="480" w:firstLineChars="200"/>
    </w:pPr>
    <w:rPr>
      <w:rFonts w:hAnsi="宋体" w:cs="宋体"/>
      <w:b/>
      <w:bCs/>
      <w:kern w:val="2"/>
      <w:szCs w:val="24"/>
    </w:rPr>
  </w:style>
  <w:style w:type="paragraph" w:customStyle="1" w:styleId="327">
    <w:name w:val="--"/>
    <w:basedOn w:val="1"/>
    <w:autoRedefine/>
    <w:qFormat/>
    <w:uiPriority w:val="0"/>
    <w:pPr>
      <w:widowControl/>
      <w:snapToGrid w:val="0"/>
      <w:spacing w:before="100" w:beforeAutospacing="1" w:after="100" w:afterAutospacing="1"/>
      <w:jc w:val="left"/>
    </w:pPr>
    <w:rPr>
      <w:rFonts w:hAnsi="宋体"/>
      <w:color w:val="000000"/>
      <w:sz w:val="28"/>
      <w:szCs w:val="28"/>
    </w:rPr>
  </w:style>
  <w:style w:type="paragraph" w:customStyle="1" w:styleId="328">
    <w:name w:val="列出段落2"/>
    <w:basedOn w:val="1"/>
    <w:autoRedefine/>
    <w:qFormat/>
    <w:uiPriority w:val="99"/>
    <w:pPr>
      <w:ind w:firstLine="420" w:firstLineChars="200"/>
    </w:pPr>
    <w:rPr>
      <w:rFonts w:ascii="Calibri" w:hAnsi="Calibri" w:cs="Calibri"/>
      <w:kern w:val="2"/>
      <w:sz w:val="21"/>
      <w:szCs w:val="21"/>
    </w:rPr>
  </w:style>
  <w:style w:type="paragraph" w:customStyle="1" w:styleId="329">
    <w:name w:val="默认段落字体 Para Char Char Char Char Char Char Char"/>
    <w:basedOn w:val="1"/>
    <w:autoRedefine/>
    <w:qFormat/>
    <w:uiPriority w:val="0"/>
    <w:pPr>
      <w:adjustRightInd w:val="0"/>
      <w:textAlignment w:val="baseline"/>
    </w:pPr>
    <w:rPr>
      <w:rFonts w:ascii="Verdana" w:hAnsi="Verdana"/>
      <w:b/>
      <w:bCs/>
      <w:kern w:val="2"/>
      <w:lang w:eastAsia="en-US"/>
    </w:rPr>
  </w:style>
  <w:style w:type="character" w:customStyle="1" w:styleId="330">
    <w:name w:val="页脚 Char"/>
    <w:basedOn w:val="53"/>
    <w:link w:val="32"/>
    <w:autoRedefine/>
    <w:qFormat/>
    <w:uiPriority w:val="0"/>
    <w:rPr>
      <w:rFonts w:ascii="宋体"/>
      <w:sz w:val="18"/>
      <w:szCs w:val="18"/>
    </w:rPr>
  </w:style>
  <w:style w:type="paragraph" w:customStyle="1" w:styleId="331">
    <w:name w:val="简单回函地址"/>
    <w:basedOn w:val="1"/>
    <w:autoRedefine/>
    <w:qFormat/>
    <w:uiPriority w:val="0"/>
  </w:style>
  <w:style w:type="character" w:customStyle="1" w:styleId="332">
    <w:name w:val="time01"/>
    <w:basedOn w:val="53"/>
    <w:autoRedefine/>
    <w:qFormat/>
    <w:uiPriority w:val="0"/>
    <w:rPr>
      <w:color w:val="999999"/>
    </w:rPr>
  </w:style>
  <w:style w:type="character" w:customStyle="1" w:styleId="333">
    <w:name w:val="order"/>
    <w:basedOn w:val="53"/>
    <w:autoRedefine/>
    <w:qFormat/>
    <w:uiPriority w:val="0"/>
  </w:style>
  <w:style w:type="character" w:customStyle="1" w:styleId="334">
    <w:name w:val="order1"/>
    <w:basedOn w:val="53"/>
    <w:autoRedefine/>
    <w:qFormat/>
    <w:uiPriority w:val="0"/>
  </w:style>
  <w:style w:type="character" w:customStyle="1" w:styleId="335">
    <w:name w:val="xmt"/>
    <w:basedOn w:val="53"/>
    <w:autoRedefine/>
    <w:qFormat/>
    <w:uiPriority w:val="0"/>
  </w:style>
  <w:style w:type="character" w:customStyle="1" w:styleId="336">
    <w:name w:val="cur"/>
    <w:basedOn w:val="53"/>
    <w:autoRedefine/>
    <w:qFormat/>
    <w:uiPriority w:val="0"/>
    <w:rPr>
      <w:color w:val="06355B"/>
    </w:rPr>
  </w:style>
  <w:style w:type="character" w:customStyle="1" w:styleId="337">
    <w:name w:val="cur1"/>
    <w:basedOn w:val="53"/>
    <w:autoRedefine/>
    <w:qFormat/>
    <w:uiPriority w:val="0"/>
    <w:rPr>
      <w:color w:val="06355B"/>
    </w:rPr>
  </w:style>
  <w:style w:type="character" w:customStyle="1" w:styleId="338">
    <w:name w:val="cur2"/>
    <w:basedOn w:val="53"/>
    <w:autoRedefine/>
    <w:qFormat/>
    <w:uiPriority w:val="0"/>
    <w:rPr>
      <w:color w:val="00558E"/>
    </w:rPr>
  </w:style>
  <w:style w:type="character" w:customStyle="1" w:styleId="339">
    <w:name w:val="cur3"/>
    <w:basedOn w:val="53"/>
    <w:autoRedefine/>
    <w:qFormat/>
    <w:uiPriority w:val="0"/>
    <w:rPr>
      <w:color w:val="FFFFFF"/>
      <w:shd w:val="clear" w:color="auto" w:fill="4B97D0"/>
    </w:rPr>
  </w:style>
  <w:style w:type="character" w:customStyle="1" w:styleId="340">
    <w:name w:val="cur4"/>
    <w:basedOn w:val="53"/>
    <w:autoRedefine/>
    <w:qFormat/>
    <w:uiPriority w:val="0"/>
    <w:rPr>
      <w:color w:val="555555"/>
    </w:rPr>
  </w:style>
  <w:style w:type="character" w:customStyle="1" w:styleId="341">
    <w:name w:val="cur5"/>
    <w:basedOn w:val="53"/>
    <w:autoRedefine/>
    <w:qFormat/>
    <w:uiPriority w:val="0"/>
    <w:rPr>
      <w:color w:val="555555"/>
    </w:rPr>
  </w:style>
  <w:style w:type="character" w:customStyle="1" w:styleId="342">
    <w:name w:val="cur6"/>
    <w:basedOn w:val="53"/>
    <w:autoRedefine/>
    <w:qFormat/>
    <w:uiPriority w:val="0"/>
    <w:rPr>
      <w:color w:val="146EAA"/>
    </w:rPr>
  </w:style>
  <w:style w:type="character" w:customStyle="1" w:styleId="343">
    <w:name w:val="tsjb"/>
    <w:basedOn w:val="53"/>
    <w:autoRedefine/>
    <w:qFormat/>
    <w:uiPriority w:val="0"/>
  </w:style>
  <w:style w:type="character" w:customStyle="1" w:styleId="344">
    <w:name w:val="wsxf"/>
    <w:basedOn w:val="53"/>
    <w:autoRedefine/>
    <w:qFormat/>
    <w:uiPriority w:val="0"/>
  </w:style>
  <w:style w:type="character" w:customStyle="1" w:styleId="345">
    <w:name w:val="hover25"/>
    <w:basedOn w:val="53"/>
    <w:autoRedefine/>
    <w:qFormat/>
    <w:uiPriority w:val="0"/>
    <w:rPr>
      <w:color w:val="FFFFFF"/>
      <w:shd w:val="clear" w:color="auto" w:fill="4B97D0"/>
    </w:rPr>
  </w:style>
  <w:style w:type="character" w:customStyle="1" w:styleId="346">
    <w:name w:val="last-child"/>
    <w:basedOn w:val="53"/>
    <w:autoRedefine/>
    <w:qFormat/>
    <w:uiPriority w:val="0"/>
  </w:style>
  <w:style w:type="character" w:customStyle="1" w:styleId="347">
    <w:name w:val="active1"/>
    <w:basedOn w:val="53"/>
    <w:autoRedefine/>
    <w:qFormat/>
    <w:uiPriority w:val="0"/>
    <w:rPr>
      <w:color w:val="146EAA"/>
    </w:rPr>
  </w:style>
  <w:style w:type="character" w:customStyle="1" w:styleId="348">
    <w:name w:val="font01"/>
    <w:basedOn w:val="53"/>
    <w:autoRedefine/>
    <w:qFormat/>
    <w:uiPriority w:val="0"/>
    <w:rPr>
      <w:rFonts w:hint="default" w:ascii="Tahoma" w:hAnsi="Tahoma" w:eastAsia="Tahoma" w:cs="Tahoma"/>
      <w:color w:val="000000"/>
      <w:sz w:val="22"/>
      <w:szCs w:val="22"/>
      <w:u w:val="none"/>
    </w:rPr>
  </w:style>
  <w:style w:type="character" w:customStyle="1" w:styleId="349">
    <w:name w:val="Default Char"/>
    <w:link w:val="68"/>
    <w:autoRedefine/>
    <w:qFormat/>
    <w:uiPriority w:val="0"/>
    <w:rPr>
      <w:color w:val="000000"/>
      <w:sz w:val="24"/>
      <w:szCs w:val="24"/>
    </w:rPr>
  </w:style>
  <w:style w:type="paragraph" w:customStyle="1" w:styleId="350">
    <w:name w:val="WPSOffice手动目录 1"/>
    <w:autoRedefine/>
    <w:qFormat/>
    <w:uiPriority w:val="0"/>
    <w:pPr>
      <w:ind w:leftChars="0"/>
    </w:pPr>
    <w:rPr>
      <w:rFonts w:ascii="Times New Roman" w:hAnsi="Times New Roman" w:eastAsia="宋体" w:cs="Times New Roman"/>
      <w:sz w:val="20"/>
      <w:szCs w:val="20"/>
    </w:rPr>
  </w:style>
  <w:style w:type="paragraph" w:customStyle="1" w:styleId="351">
    <w:name w:val="WPSOffice手动目录 2"/>
    <w:autoRedefine/>
    <w:qFormat/>
    <w:uiPriority w:val="0"/>
    <w:pPr>
      <w:ind w:leftChars="200"/>
    </w:pPr>
    <w:rPr>
      <w:rFonts w:ascii="Times New Roman" w:hAnsi="Times New Roman" w:eastAsia="宋体" w:cs="Times New Roman"/>
      <w:sz w:val="20"/>
      <w:szCs w:val="20"/>
    </w:rPr>
  </w:style>
  <w:style w:type="paragraph" w:customStyle="1" w:styleId="352">
    <w:name w:val="WPSOffice手动目录 3"/>
    <w:autoRedefine/>
    <w:qFormat/>
    <w:uiPriority w:val="0"/>
    <w:pPr>
      <w:ind w:leftChars="400"/>
    </w:pPr>
    <w:rPr>
      <w:rFonts w:ascii="Times New Roman" w:hAnsi="Times New Roman" w:eastAsia="宋体" w:cs="Times New Roman"/>
      <w:sz w:val="20"/>
      <w:szCs w:val="20"/>
    </w:rPr>
  </w:style>
  <w:style w:type="paragraph" w:customStyle="1" w:styleId="353">
    <w:name w:val="Table Paragraph"/>
    <w:basedOn w:val="1"/>
    <w:qFormat/>
    <w:uiPriority w:val="1"/>
    <w:pPr>
      <w:jc w:val="left"/>
    </w:pPr>
    <w:rPr>
      <w:rFonts w:ascii="Calibri" w:hAnsi="Calibri" w:eastAsia="宋体" w:cs="Times New Roman"/>
      <w:kern w:val="0"/>
      <w:sz w:val="22"/>
      <w:szCs w:val="22"/>
      <w:lang w:eastAsia="en-US"/>
    </w:rPr>
  </w:style>
  <w:style w:type="paragraph" w:customStyle="1" w:styleId="354">
    <w:name w:val="填表5"/>
    <w:basedOn w:val="1"/>
    <w:next w:val="1"/>
    <w:qFormat/>
    <w:uiPriority w:val="0"/>
    <w:pPr>
      <w:spacing w:line="300" w:lineRule="exact"/>
      <w:jc w:val="left"/>
    </w:pPr>
    <w:rPr>
      <w:rFonts w:ascii="宋体"/>
      <w:sz w:val="24"/>
      <w:szCs w:val="21"/>
    </w:rPr>
  </w:style>
  <w:style w:type="paragraph" w:customStyle="1" w:styleId="355">
    <w:name w:val="填表5行距12磅"/>
    <w:basedOn w:val="354"/>
    <w:qFormat/>
    <w:uiPriority w:val="0"/>
    <w:pPr>
      <w:spacing w:line="240" w:lineRule="exact"/>
    </w:pPr>
    <w:rPr>
      <w:rFonts w:cs="宋体"/>
      <w:sz w:val="21"/>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0" Type="http://schemas.openxmlformats.org/officeDocument/2006/relationships/fontTable" Target="fontTable.xml"/><Relationship Id="rId4" Type="http://schemas.openxmlformats.org/officeDocument/2006/relationships/footer" Target="footer1.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26.jpeg"/><Relationship Id="rId35" Type="http://schemas.openxmlformats.org/officeDocument/2006/relationships/image" Target="media/image25.jpeg"/><Relationship Id="rId34" Type="http://schemas.openxmlformats.org/officeDocument/2006/relationships/image" Target="media/image24.jpeg"/><Relationship Id="rId33" Type="http://schemas.openxmlformats.org/officeDocument/2006/relationships/image" Target="media/image23.jpeg"/><Relationship Id="rId32" Type="http://schemas.openxmlformats.org/officeDocument/2006/relationships/image" Target="media/image22.jpeg"/><Relationship Id="rId31" Type="http://schemas.openxmlformats.org/officeDocument/2006/relationships/image" Target="media/image21.png"/><Relationship Id="rId30" Type="http://schemas.openxmlformats.org/officeDocument/2006/relationships/image" Target="media/image20.png"/><Relationship Id="rId3" Type="http://schemas.openxmlformats.org/officeDocument/2006/relationships/header" Target="header1.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jpeg"/><Relationship Id="rId26" Type="http://schemas.openxmlformats.org/officeDocument/2006/relationships/image" Target="media/image16.jpeg"/><Relationship Id="rId25" Type="http://schemas.openxmlformats.org/officeDocument/2006/relationships/image" Target="media/image15.png"/><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8723B5-4167-4F7B-AC9D-BAAD218E9EF5}">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128</Pages>
  <Words>39005</Words>
  <Characters>42248</Characters>
  <Lines>569</Lines>
  <Paragraphs>160</Paragraphs>
  <TotalTime>11</TotalTime>
  <ScaleCrop>false</ScaleCrop>
  <LinksUpToDate>false</LinksUpToDate>
  <CharactersWithSpaces>42988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2012-07-16T07:24:00Z</dcterms:created>
  <dc:creator>微软用户</dc:creator>
  <cp:lastModifiedBy>荒</cp:lastModifiedBy>
  <cp:lastPrinted>2021-11-15T10:08:00Z</cp:lastPrinted>
  <dcterms:modified xsi:type="dcterms:W3CDTF">2024-10-24T00:53:11Z</dcterms:modified>
  <dc:title>编号：BSMS(QT)AP-2014-002（全中涂色部分为还需修改部分）</dc:title>
  <cp:revision>329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0CA2956C58AA485EACEF4DAB45A2BEB8_13</vt:lpwstr>
  </property>
</Properties>
</file>